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5E" w:rsidRDefault="005E235E" w:rsidP="005E235E">
      <w:pPr>
        <w:pStyle w:val="Heading01Yellow"/>
        <w:jc w:val="center"/>
        <w:rPr>
          <w:sz w:val="96"/>
        </w:rPr>
      </w:pPr>
    </w:p>
    <w:p w:rsidR="005E235E" w:rsidRDefault="005E235E" w:rsidP="005E235E">
      <w:pPr>
        <w:pStyle w:val="Heading01Yellow"/>
        <w:jc w:val="center"/>
        <w:rPr>
          <w:sz w:val="96"/>
        </w:rPr>
      </w:pPr>
    </w:p>
    <w:p w:rsidR="005E235E" w:rsidRDefault="005E235E" w:rsidP="005E235E">
      <w:pPr>
        <w:pStyle w:val="Heading01Yellow"/>
        <w:jc w:val="center"/>
        <w:rPr>
          <w:sz w:val="96"/>
        </w:rPr>
      </w:pPr>
    </w:p>
    <w:p w:rsidR="005E235E" w:rsidRPr="00045652" w:rsidRDefault="002C7646" w:rsidP="005E235E">
      <w:pPr>
        <w:pStyle w:val="Heading01Yellow"/>
        <w:jc w:val="center"/>
        <w:rPr>
          <w:sz w:val="96"/>
        </w:rPr>
      </w:pPr>
      <w:r>
        <w:rPr>
          <w:sz w:val="96"/>
        </w:rPr>
        <w:t xml:space="preserve">WALGA’s Building Design </w:t>
      </w:r>
    </w:p>
    <w:p w:rsidR="005E235E" w:rsidRPr="000A0CA3" w:rsidRDefault="002C7646" w:rsidP="005E235E">
      <w:pPr>
        <w:pStyle w:val="Heading01Blue"/>
        <w:jc w:val="center"/>
        <w:rPr>
          <w:sz w:val="72"/>
        </w:rPr>
      </w:pPr>
      <w:r>
        <w:rPr>
          <w:sz w:val="72"/>
        </w:rPr>
        <w:t xml:space="preserve">Case Study </w:t>
      </w:r>
    </w:p>
    <w:p w:rsidR="006E3BCA" w:rsidRPr="00A8510C" w:rsidRDefault="006E3BCA" w:rsidP="006E3BCA">
      <w:pPr>
        <w:rPr>
          <w:lang w:val="en-GB"/>
        </w:rPr>
      </w:pPr>
    </w:p>
    <w:p w:rsidR="005E235E" w:rsidRDefault="006E3BCA" w:rsidP="005E235E">
      <w:pPr>
        <w:spacing w:before="120" w:after="120"/>
      </w:pPr>
      <w:r>
        <w:br w:type="page"/>
      </w:r>
    </w:p>
    <w:p w:rsidR="002C7646" w:rsidRPr="008072CB" w:rsidRDefault="002C7646" w:rsidP="002C7646">
      <w:pPr>
        <w:rPr>
          <w:b/>
          <w:sz w:val="28"/>
          <w:szCs w:val="28"/>
        </w:rPr>
      </w:pPr>
      <w:r w:rsidRPr="008072CB">
        <w:rPr>
          <w:b/>
          <w:sz w:val="28"/>
          <w:szCs w:val="28"/>
        </w:rPr>
        <w:lastRenderedPageBreak/>
        <w:t>Project Overview of ONE70</w:t>
      </w:r>
    </w:p>
    <w:p w:rsidR="002C7646" w:rsidRPr="008072CB" w:rsidRDefault="002C7646" w:rsidP="002C7646">
      <w:pPr>
        <w:rPr>
          <w:b/>
          <w:lang w:val="en-US"/>
        </w:rPr>
      </w:pPr>
      <w:r w:rsidRPr="008072CB">
        <w:rPr>
          <w:b/>
        </w:rPr>
        <w:t xml:space="preserve">Why Target </w:t>
      </w:r>
      <w:proofErr w:type="spellStart"/>
      <w:r w:rsidRPr="008072CB">
        <w:rPr>
          <w:b/>
        </w:rPr>
        <w:t>Greenstar</w:t>
      </w:r>
      <w:proofErr w:type="spellEnd"/>
      <w:r w:rsidRPr="008072CB">
        <w:rPr>
          <w:b/>
        </w:rPr>
        <w:t xml:space="preserve">? </w:t>
      </w:r>
    </w:p>
    <w:p w:rsidR="002C7646" w:rsidRPr="008072CB" w:rsidRDefault="002C7646" w:rsidP="002C7646">
      <w:pPr>
        <w:numPr>
          <w:ilvl w:val="0"/>
          <w:numId w:val="14"/>
        </w:numPr>
        <w:rPr>
          <w:lang w:val="en-US"/>
        </w:rPr>
      </w:pPr>
      <w:r w:rsidRPr="008072CB">
        <w:rPr>
          <w:lang w:val="en-US"/>
        </w:rPr>
        <w:t xml:space="preserve">Expansion in services provided by WALGA resulted in pressures on the capacity of Local Government House at Altona Street in West Perth. </w:t>
      </w:r>
    </w:p>
    <w:p w:rsidR="002C7646" w:rsidRPr="008072CB" w:rsidRDefault="002C7646" w:rsidP="002C7646">
      <w:pPr>
        <w:numPr>
          <w:ilvl w:val="0"/>
          <w:numId w:val="14"/>
        </w:numPr>
        <w:rPr>
          <w:lang w:val="en-US"/>
        </w:rPr>
      </w:pPr>
      <w:r w:rsidRPr="008072CB">
        <w:rPr>
          <w:lang w:val="en-US"/>
        </w:rPr>
        <w:t xml:space="preserve">Facilities did not suit the business requirements of the </w:t>
      </w:r>
      <w:proofErr w:type="spellStart"/>
      <w:r w:rsidRPr="008072CB">
        <w:rPr>
          <w:lang w:val="en-US"/>
        </w:rPr>
        <w:t>organisation</w:t>
      </w:r>
      <w:proofErr w:type="spellEnd"/>
      <w:r w:rsidRPr="008072CB">
        <w:rPr>
          <w:lang w:val="en-US"/>
        </w:rPr>
        <w:t xml:space="preserve">, including lack of suitable training facilities and meeting rooms. </w:t>
      </w:r>
    </w:p>
    <w:p w:rsidR="002C7646" w:rsidRDefault="002C7646" w:rsidP="002C7646">
      <w:pPr>
        <w:numPr>
          <w:ilvl w:val="0"/>
          <w:numId w:val="14"/>
        </w:numPr>
        <w:rPr>
          <w:lang w:val="en-US"/>
        </w:rPr>
      </w:pPr>
      <w:r w:rsidRPr="008072CB">
        <w:rPr>
          <w:lang w:val="en-US"/>
        </w:rPr>
        <w:t xml:space="preserve">WALGA and </w:t>
      </w:r>
      <w:proofErr w:type="spellStart"/>
      <w:r w:rsidRPr="008072CB">
        <w:rPr>
          <w:lang w:val="en-US"/>
        </w:rPr>
        <w:t>Qube</w:t>
      </w:r>
      <w:proofErr w:type="spellEnd"/>
      <w:r w:rsidRPr="008072CB">
        <w:rPr>
          <w:lang w:val="en-US"/>
        </w:rPr>
        <w:t xml:space="preserve"> Property Group Pty purchased the land at 170 Railway Parade with 60% and 40% shares respectively. </w:t>
      </w:r>
    </w:p>
    <w:p w:rsidR="002C7646" w:rsidRPr="00702FC1" w:rsidRDefault="002C7646" w:rsidP="002C7646">
      <w:pPr>
        <w:numPr>
          <w:ilvl w:val="0"/>
          <w:numId w:val="14"/>
        </w:numPr>
        <w:rPr>
          <w:lang w:val="en-US"/>
        </w:rPr>
      </w:pPr>
      <w:proofErr w:type="spellStart"/>
      <w:r w:rsidRPr="00702FC1">
        <w:rPr>
          <w:lang w:val="en-US"/>
        </w:rPr>
        <w:t>Hassell</w:t>
      </w:r>
      <w:proofErr w:type="spellEnd"/>
      <w:r w:rsidRPr="00702FC1">
        <w:rPr>
          <w:lang w:val="en-US"/>
        </w:rPr>
        <w:t xml:space="preserve"> Architects and AECOM were engaged to design the new headquarters for WALGA. Our new 5 Star Green Star Design rated headquarters has been certified as Australian Excellence in Environmentally Sustainable Design.</w:t>
      </w:r>
    </w:p>
    <w:p w:rsidR="002C7646" w:rsidRPr="00BE1EE4" w:rsidRDefault="002C7646" w:rsidP="002C7646">
      <w:pPr>
        <w:spacing w:after="240" w:line="270" w:lineRule="atLeast"/>
      </w:pPr>
      <w:r>
        <w:t xml:space="preserve">WALGA </w:t>
      </w:r>
      <w:r w:rsidRPr="00BE1EE4">
        <w:t>he</w:t>
      </w:r>
      <w:r>
        <w:t xml:space="preserve">adquarters in West Leederville </w:t>
      </w:r>
      <w:r w:rsidRPr="00BE1EE4">
        <w:t>was officially operational on the 20</w:t>
      </w:r>
      <w:r w:rsidRPr="00BE1EE4">
        <w:rPr>
          <w:vertAlign w:val="superscript"/>
        </w:rPr>
        <w:t>th</w:t>
      </w:r>
      <w:r w:rsidRPr="00BE1EE4">
        <w:t xml:space="preserve"> January 2014. This innovative building, with a total net lettable area is 6,500sqm, has received:  </w:t>
      </w:r>
    </w:p>
    <w:p w:rsidR="002C7646" w:rsidRPr="00BE1EE4" w:rsidRDefault="002C7646" w:rsidP="002C7646">
      <w:pPr>
        <w:pStyle w:val="ListParagraph"/>
        <w:numPr>
          <w:ilvl w:val="3"/>
          <w:numId w:val="12"/>
        </w:numPr>
        <w:spacing w:after="0" w:line="270" w:lineRule="atLeast"/>
        <w:ind w:left="743"/>
      </w:pPr>
      <w:r w:rsidRPr="00BE1EE4">
        <w:t xml:space="preserve">A Design &amp; As Built 5 Star Green Star rating, from the Green Building Council of Australia; </w:t>
      </w:r>
    </w:p>
    <w:p w:rsidR="002C7646" w:rsidRPr="00BE1EE4" w:rsidRDefault="002C7646" w:rsidP="002C7646">
      <w:pPr>
        <w:pStyle w:val="ListParagraph"/>
        <w:numPr>
          <w:ilvl w:val="3"/>
          <w:numId w:val="12"/>
        </w:numPr>
        <w:spacing w:after="0" w:line="270" w:lineRule="atLeast"/>
        <w:ind w:left="743"/>
      </w:pPr>
      <w:r w:rsidRPr="00BE1EE4">
        <w:t xml:space="preserve">recognition from the Sustainable Energy Development Office;  </w:t>
      </w:r>
    </w:p>
    <w:p w:rsidR="002C7646" w:rsidRPr="00BE1EE4" w:rsidRDefault="002C7646" w:rsidP="002C7646">
      <w:pPr>
        <w:pStyle w:val="ListParagraph"/>
        <w:numPr>
          <w:ilvl w:val="3"/>
          <w:numId w:val="12"/>
        </w:numPr>
        <w:spacing w:after="0" w:line="270" w:lineRule="atLeast"/>
        <w:ind w:left="743"/>
      </w:pPr>
      <w:r w:rsidRPr="00BE1EE4">
        <w:t xml:space="preserve">the ‘Design &amp; Installation over 100kW’ award, from the </w:t>
      </w:r>
      <w:r w:rsidRPr="00BE1EE4">
        <w:rPr>
          <w:lang w:eastAsia="en-AU"/>
        </w:rPr>
        <w:t>Australian Solar Design and Installation Awards; and</w:t>
      </w:r>
    </w:p>
    <w:p w:rsidR="002C7646" w:rsidRPr="00BE1EE4" w:rsidRDefault="002C7646" w:rsidP="002C7646">
      <w:pPr>
        <w:pStyle w:val="ListParagraph"/>
        <w:numPr>
          <w:ilvl w:val="3"/>
          <w:numId w:val="12"/>
        </w:numPr>
        <w:spacing w:after="0" w:line="270" w:lineRule="atLeast"/>
        <w:ind w:left="743"/>
      </w:pPr>
      <w:r w:rsidRPr="00BE1EE4">
        <w:t>Indicative five star NABERS rating for energy and water.</w:t>
      </w:r>
      <w:r>
        <w:br/>
      </w:r>
    </w:p>
    <w:p w:rsidR="002C7646" w:rsidRPr="00BE1EE4" w:rsidRDefault="002C7646" w:rsidP="002C7646">
      <w:pPr>
        <w:spacing w:line="270" w:lineRule="atLeast"/>
      </w:pPr>
      <w:r w:rsidRPr="00BE1EE4">
        <w:t xml:space="preserve">Emphasis was placed on developing an energy efficient building, with many initiatives taken to save energy.  </w:t>
      </w:r>
    </w:p>
    <w:p w:rsidR="002C7646" w:rsidRPr="00BE1EE4" w:rsidRDefault="002C7646" w:rsidP="002C7646">
      <w:pPr>
        <w:spacing w:line="270" w:lineRule="atLeast"/>
      </w:pPr>
      <w:r w:rsidRPr="00BE1EE4">
        <w:t>These include:</w:t>
      </w:r>
    </w:p>
    <w:p w:rsidR="002C7646" w:rsidRPr="00BE1EE4" w:rsidRDefault="002C7646" w:rsidP="002C7646">
      <w:pPr>
        <w:pStyle w:val="ListParagraph"/>
        <w:numPr>
          <w:ilvl w:val="0"/>
          <w:numId w:val="13"/>
        </w:numPr>
        <w:spacing w:after="0" w:line="270" w:lineRule="atLeast"/>
      </w:pPr>
      <w:r w:rsidRPr="00BE1EE4">
        <w:t xml:space="preserve">Active chilled beams to reduce energy required to cool the building; </w:t>
      </w:r>
    </w:p>
    <w:p w:rsidR="002C7646" w:rsidRPr="00BE1EE4" w:rsidRDefault="002C7646" w:rsidP="002C7646">
      <w:pPr>
        <w:pStyle w:val="ListParagraph"/>
        <w:numPr>
          <w:ilvl w:val="0"/>
          <w:numId w:val="13"/>
        </w:numPr>
        <w:spacing w:after="0" w:line="270" w:lineRule="atLeast"/>
      </w:pPr>
      <w:r w:rsidRPr="00BE1EE4">
        <w:t xml:space="preserve">Extensive LED lighting;  </w:t>
      </w:r>
    </w:p>
    <w:p w:rsidR="002C7646" w:rsidRPr="00BE1EE4" w:rsidRDefault="002C7646" w:rsidP="002C7646">
      <w:pPr>
        <w:pStyle w:val="ListParagraph"/>
        <w:numPr>
          <w:ilvl w:val="0"/>
          <w:numId w:val="13"/>
        </w:numPr>
        <w:spacing w:after="0" w:line="270" w:lineRule="atLeast"/>
      </w:pPr>
      <w:r w:rsidRPr="00BE1EE4">
        <w:t>A Building Management System (BMS); and</w:t>
      </w:r>
    </w:p>
    <w:p w:rsidR="002C7646" w:rsidRPr="00BE1EE4" w:rsidRDefault="002C7646" w:rsidP="002C7646">
      <w:pPr>
        <w:pStyle w:val="ListParagraph"/>
        <w:numPr>
          <w:ilvl w:val="0"/>
          <w:numId w:val="13"/>
        </w:numPr>
        <w:spacing w:after="240" w:line="270" w:lineRule="atLeast"/>
      </w:pPr>
      <w:r w:rsidRPr="00BE1EE4">
        <w:t>Extensive solar power generation, through</w:t>
      </w:r>
      <w:r w:rsidR="00FE6F71">
        <w:t xml:space="preserve"> rooftop PV </w:t>
      </w:r>
      <w:proofErr w:type="gramStart"/>
      <w:r w:rsidR="00FE6F71">
        <w:t>panels</w:t>
      </w:r>
      <w:proofErr w:type="gramEnd"/>
      <w:r w:rsidR="00FE6F71">
        <w:t xml:space="preserve"> 139Kw system.</w:t>
      </w:r>
      <w:bookmarkStart w:id="0" w:name="_GoBack"/>
      <w:bookmarkEnd w:id="0"/>
      <w:r w:rsidRPr="00BE1EE4">
        <w:t xml:space="preserve"> </w:t>
      </w:r>
    </w:p>
    <w:p w:rsidR="002C7646" w:rsidRPr="00BE1EE4" w:rsidRDefault="002C7646" w:rsidP="002C7646">
      <w:pPr>
        <w:overflowPunct w:val="0"/>
        <w:ind w:right="204"/>
      </w:pPr>
      <w:r w:rsidRPr="00BE1EE4">
        <w:t xml:space="preserve">The total net lettable area is 6,500sqm, with a landscaped pedestrian spine creates a connection between Subiaco and Leederville and </w:t>
      </w:r>
      <w:r>
        <w:t>incorporates vibrant public art and</w:t>
      </w:r>
      <w:r w:rsidRPr="00BE1EE4">
        <w:t xml:space="preserve"> native plants from around Western Australia.</w:t>
      </w:r>
    </w:p>
    <w:p w:rsidR="002C7646" w:rsidRPr="00BE1EE4" w:rsidRDefault="002C7646" w:rsidP="002C7646">
      <w:pPr>
        <w:spacing w:line="270" w:lineRule="atLeast"/>
      </w:pPr>
      <w:r w:rsidRPr="00BE1EE4">
        <w:t xml:space="preserve">Energy efficiency was considered throughout the life cycle of the building, and not just during </w:t>
      </w:r>
      <w:r>
        <w:t xml:space="preserve">the time it will be inhabited. </w:t>
      </w:r>
      <w:r w:rsidRPr="00BE1EE4">
        <w:t xml:space="preserve">During construction, a number of materials were reused from the buildings previously standing on the site, to minimise energy use in transporting and disposing of these materials. </w:t>
      </w:r>
    </w:p>
    <w:p w:rsidR="00A8510C" w:rsidRPr="00A8510C" w:rsidRDefault="002C7646" w:rsidP="002C7646">
      <w:pPr>
        <w:spacing w:line="270" w:lineRule="atLeast"/>
      </w:pPr>
      <w:r w:rsidRPr="00BE1EE4">
        <w:t>Also</w:t>
      </w:r>
      <w:r>
        <w:t xml:space="preserve"> 10,000 square metres of </w:t>
      </w:r>
      <w:proofErr w:type="spellStart"/>
      <w:r>
        <w:t>BubbleD</w:t>
      </w:r>
      <w:r w:rsidRPr="00BE1EE4">
        <w:t>eck</w:t>
      </w:r>
      <w:proofErr w:type="spellEnd"/>
      <w:r w:rsidRPr="00BE1EE4">
        <w:t xml:space="preserve"> was used in place of traditional concrete</w:t>
      </w:r>
      <w:r>
        <w:t xml:space="preserve"> (a carbon intensive material).  </w:t>
      </w:r>
      <w:proofErr w:type="spellStart"/>
      <w:r>
        <w:t>BubbleD</w:t>
      </w:r>
      <w:r w:rsidRPr="00BE1EE4">
        <w:t>eck</w:t>
      </w:r>
      <w:proofErr w:type="spellEnd"/>
      <w:r w:rsidRPr="00BE1EE4">
        <w:t xml:space="preserve"> is a precast c</w:t>
      </w:r>
      <w:r>
        <w:t xml:space="preserve">oncrete floor system which uses </w:t>
      </w:r>
      <w:r w:rsidRPr="00BE1EE4">
        <w:t xml:space="preserve">35 percent less concrete than traditional floor systems by incorporating large, hollow plastic </w:t>
      </w:r>
      <w:r w:rsidRPr="00BE1EE4">
        <w:lastRenderedPageBreak/>
        <w:t>balls in a la</w:t>
      </w:r>
      <w:r>
        <w:t xml:space="preserve">ttice of steel. By using </w:t>
      </w:r>
      <w:proofErr w:type="spellStart"/>
      <w:r>
        <w:t>BubbleD</w:t>
      </w:r>
      <w:r w:rsidRPr="00BE1EE4">
        <w:t>eck</w:t>
      </w:r>
      <w:proofErr w:type="spellEnd"/>
      <w:r w:rsidRPr="00BE1EE4">
        <w:t>, WALGA ensured less concrete was required in th</w:t>
      </w:r>
      <w:r>
        <w:t>e construction of its building.</w:t>
      </w:r>
    </w:p>
    <w:sectPr w:rsidR="00A8510C" w:rsidRPr="00A8510C" w:rsidSect="006E3BC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1440" w:bottom="993" w:left="1440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0FF" w:rsidRDefault="00C270FF" w:rsidP="0024186F">
      <w:r>
        <w:separator/>
      </w:r>
    </w:p>
  </w:endnote>
  <w:endnote w:type="continuationSeparator" w:id="0">
    <w:p w:rsidR="00C270FF" w:rsidRDefault="00C270FF" w:rsidP="0024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01" w:rsidRDefault="000A0CA3" w:rsidP="0024186F">
    <w:pPr>
      <w:pStyle w:val="Footer"/>
    </w:pPr>
    <w:r>
      <w:tab/>
    </w:r>
  </w:p>
  <w:p w:rsidR="00B97D19" w:rsidRDefault="003A020B" w:rsidP="0024186F"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C8A392" wp14:editId="7637F805">
              <wp:simplePos x="0" y="0"/>
              <wp:positionH relativeFrom="column">
                <wp:posOffset>-297758</wp:posOffset>
              </wp:positionH>
              <wp:positionV relativeFrom="paragraph">
                <wp:posOffset>332048</wp:posOffset>
              </wp:positionV>
              <wp:extent cx="6622472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2472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020B" w:rsidRDefault="003A020B" w:rsidP="003A020B">
                          <w:pPr>
                            <w:pStyle w:val="Footer"/>
                            <w:tabs>
                              <w:tab w:val="clear" w:pos="9026"/>
                              <w:tab w:val="right" w:pos="10065"/>
                            </w:tabs>
                          </w:pPr>
                          <w:r>
                            <w:rPr>
                              <w:sz w:val="18"/>
                              <w:szCs w:val="18"/>
                            </w:rPr>
                            <w:t>www.walga.asn.au</w:t>
                          </w:r>
                          <w:r>
                            <w:t xml:space="preserve"> </w:t>
                          </w:r>
                          <w:sdt>
                            <w:sdtPr>
                              <w:id w:val="-157272757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r w:rsidRPr="00AA167B"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Pr="0071775A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71775A">
                                <w:rPr>
                                  <w:sz w:val="18"/>
                                  <w:szCs w:val="18"/>
                                </w:rPr>
                                <w:instrText xml:space="preserve"> PAGE   \* MERGEFORMAT </w:instrText>
                              </w:r>
                              <w:r w:rsidRPr="0071775A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FE6F71">
                                <w:rPr>
                                  <w:noProof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71775A">
                                <w:rPr>
                                  <w:noProof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C8A3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3.45pt;margin-top:26.15pt;width:521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" filled="f" stroked="f">
              <v:textbox style="mso-fit-shape-to-text:t">
                <w:txbxContent>
                  <w:p w:rsidR="003A020B" w:rsidRDefault="003A020B" w:rsidP="003A020B">
                    <w:pPr>
                      <w:pStyle w:val="Footer"/>
                      <w:tabs>
                        <w:tab w:val="clear" w:pos="9026"/>
                        <w:tab w:val="right" w:pos="10065"/>
                      </w:tabs>
                    </w:pPr>
                    <w:r>
                      <w:rPr>
                        <w:sz w:val="18"/>
                        <w:szCs w:val="18"/>
                      </w:rPr>
                      <w:t>www.walga.asn.au</w:t>
                    </w:r>
                    <w:r>
                      <w:t xml:space="preserve"> </w:t>
                    </w:r>
                    <w:sdt>
                      <w:sdtPr>
                        <w:id w:val="-1572727570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noProof/>
                        </w:rPr>
                      </w:sdtEndPr>
                      <w:sdtContent>
                        <w:r w:rsidRPr="00AA167B">
                          <w:t xml:space="preserve"> </w:t>
                        </w:r>
                        <w:r>
                          <w:tab/>
                        </w:r>
                        <w:r>
                          <w:tab/>
                        </w:r>
                        <w:r w:rsidRPr="0071775A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Pr="0071775A">
                          <w:rPr>
                            <w:sz w:val="18"/>
                            <w:szCs w:val="18"/>
                          </w:rPr>
                          <w:instrText xml:space="preserve"> PAGE   \* MERGEFORMAT </w:instrText>
                        </w:r>
                        <w:r w:rsidRPr="0071775A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FE6F71">
                          <w:rPr>
                            <w:noProof/>
                            <w:sz w:val="18"/>
                            <w:szCs w:val="18"/>
                          </w:rPr>
                          <w:t>3</w:t>
                        </w:r>
                        <w:r w:rsidRPr="0071775A">
                          <w:rPr>
                            <w:noProof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AA167B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71CBBD9" wp14:editId="645F36F7">
          <wp:simplePos x="0" y="0"/>
          <wp:positionH relativeFrom="column">
            <wp:posOffset>-368704</wp:posOffset>
          </wp:positionH>
          <wp:positionV relativeFrom="paragraph">
            <wp:posOffset>287770</wp:posOffset>
          </wp:positionV>
          <wp:extent cx="6787515" cy="307975"/>
          <wp:effectExtent l="0" t="0" r="0" b="0"/>
          <wp:wrapSquare wrapText="bothSides"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llow B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7515" cy="307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7D19" w:rsidRDefault="00B97D19" w:rsidP="002418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CA" w:rsidRDefault="006E3BCA" w:rsidP="006E3BCA">
    <w:pPr>
      <w:pStyle w:val="Footer"/>
      <w:ind w:left="-1134"/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64384" behindDoc="1" locked="0" layoutInCell="1" allowOverlap="1" wp14:anchorId="258F8B15" wp14:editId="0ED76FB6">
          <wp:simplePos x="0" y="0"/>
          <wp:positionH relativeFrom="column">
            <wp:posOffset>-577850</wp:posOffset>
          </wp:positionH>
          <wp:positionV relativeFrom="paragraph">
            <wp:posOffset>95250</wp:posOffset>
          </wp:positionV>
          <wp:extent cx="6787515" cy="307975"/>
          <wp:effectExtent l="0" t="0" r="0" b="0"/>
          <wp:wrapTight wrapText="bothSides">
            <wp:wrapPolygon edited="0">
              <wp:start x="0" y="0"/>
              <wp:lineTo x="0" y="20041"/>
              <wp:lineTo x="21521" y="20041"/>
              <wp:lineTo x="21521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llow B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7515" cy="307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0FF" w:rsidRDefault="00C270FF" w:rsidP="0024186F">
      <w:r>
        <w:separator/>
      </w:r>
    </w:p>
  </w:footnote>
  <w:footnote w:type="continuationSeparator" w:id="0">
    <w:p w:rsidR="00C270FF" w:rsidRDefault="00C270FF" w:rsidP="00241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9026"/>
    </w:tblGrid>
    <w:tr w:rsidR="00F42482" w:rsidTr="0071775A">
      <w:trPr>
        <w:trHeight w:val="430"/>
      </w:trPr>
      <w:tc>
        <w:tcPr>
          <w:tcW w:w="9242" w:type="dxa"/>
          <w:shd w:val="clear" w:color="auto" w:fill="FFFFFF" w:themeFill="background1"/>
        </w:tcPr>
        <w:p w:rsidR="00F42482" w:rsidRDefault="00FF4742" w:rsidP="00E46C21">
          <w:pPr>
            <w:pStyle w:val="Header"/>
            <w:tabs>
              <w:tab w:val="clear" w:pos="4513"/>
              <w:tab w:val="clear" w:pos="9026"/>
              <w:tab w:val="left" w:pos="4003"/>
            </w:tabs>
          </w:pPr>
          <w:r>
            <w:rPr>
              <w:noProof/>
              <w:lang w:val="en-US"/>
            </w:rPr>
            <w:drawing>
              <wp:inline distT="0" distB="0" distL="0" distR="0" wp14:anchorId="13251B6F" wp14:editId="119A24F4">
                <wp:extent cx="588146" cy="448573"/>
                <wp:effectExtent l="0" t="0" r="2540" b="8890"/>
                <wp:docPr id="81" name="Picture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LG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145" cy="448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1775A">
            <w:tab/>
          </w:r>
        </w:p>
        <w:p w:rsidR="00F42482" w:rsidRDefault="00C270FF" w:rsidP="0024186F">
          <w:pPr>
            <w:pStyle w:val="Header"/>
          </w:pPr>
        </w:p>
      </w:tc>
    </w:tr>
  </w:tbl>
  <w:p w:rsidR="00B97D19" w:rsidRDefault="00B97D19" w:rsidP="002418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CA" w:rsidRDefault="006E3BCA" w:rsidP="006E3BCA">
    <w:pPr>
      <w:pStyle w:val="Header"/>
      <w:ind w:left="-1134"/>
    </w:pPr>
    <w:r w:rsidRPr="00285DE9">
      <w:rPr>
        <w:noProof/>
        <w:lang w:val="en-US"/>
      </w:rPr>
      <w:drawing>
        <wp:inline distT="0" distB="0" distL="0" distR="0">
          <wp:extent cx="7254875" cy="177419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- Title 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4875" cy="177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A5681"/>
    <w:multiLevelType w:val="hybridMultilevel"/>
    <w:tmpl w:val="42040F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02FB7"/>
    <w:multiLevelType w:val="multilevel"/>
    <w:tmpl w:val="D944A00A"/>
    <w:lvl w:ilvl="0">
      <w:start w:val="1"/>
      <w:numFmt w:val="decimal"/>
      <w:pStyle w:val="Heading1"/>
      <w:lvlText w:val="%1.0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0A61AF5"/>
    <w:multiLevelType w:val="hybridMultilevel"/>
    <w:tmpl w:val="A3FCA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D16B3"/>
    <w:multiLevelType w:val="hybridMultilevel"/>
    <w:tmpl w:val="127802FC"/>
    <w:lvl w:ilvl="0" w:tplc="DE3AF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CE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90F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21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227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AD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64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E62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A9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5C183D"/>
    <w:multiLevelType w:val="hybridMultilevel"/>
    <w:tmpl w:val="1F567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835D3"/>
    <w:multiLevelType w:val="hybridMultilevel"/>
    <w:tmpl w:val="581A6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403A5"/>
    <w:multiLevelType w:val="hybridMultilevel"/>
    <w:tmpl w:val="1AD00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C038B"/>
    <w:multiLevelType w:val="hybridMultilevel"/>
    <w:tmpl w:val="D36A1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E12E0"/>
    <w:multiLevelType w:val="hybridMultilevel"/>
    <w:tmpl w:val="C36E0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44F93"/>
    <w:multiLevelType w:val="hybridMultilevel"/>
    <w:tmpl w:val="065A0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2B"/>
    <w:rsid w:val="00011A50"/>
    <w:rsid w:val="00014ECD"/>
    <w:rsid w:val="00026FB0"/>
    <w:rsid w:val="000609BA"/>
    <w:rsid w:val="00080225"/>
    <w:rsid w:val="000A0CA3"/>
    <w:rsid w:val="000A7494"/>
    <w:rsid w:val="001C76DE"/>
    <w:rsid w:val="00217275"/>
    <w:rsid w:val="00234FE5"/>
    <w:rsid w:val="0024186F"/>
    <w:rsid w:val="0025112A"/>
    <w:rsid w:val="00254279"/>
    <w:rsid w:val="002B37D3"/>
    <w:rsid w:val="002C206C"/>
    <w:rsid w:val="002C7646"/>
    <w:rsid w:val="00371820"/>
    <w:rsid w:val="00380D4A"/>
    <w:rsid w:val="003A020B"/>
    <w:rsid w:val="003D2880"/>
    <w:rsid w:val="00452801"/>
    <w:rsid w:val="00484AD9"/>
    <w:rsid w:val="004C35AE"/>
    <w:rsid w:val="004F4580"/>
    <w:rsid w:val="00592AC3"/>
    <w:rsid w:val="005A601D"/>
    <w:rsid w:val="005E095C"/>
    <w:rsid w:val="005E235E"/>
    <w:rsid w:val="006A71B8"/>
    <w:rsid w:val="006E3BCA"/>
    <w:rsid w:val="006F67DF"/>
    <w:rsid w:val="00706D31"/>
    <w:rsid w:val="0071775A"/>
    <w:rsid w:val="007B5825"/>
    <w:rsid w:val="007C7940"/>
    <w:rsid w:val="00842FA5"/>
    <w:rsid w:val="00906422"/>
    <w:rsid w:val="009145B9"/>
    <w:rsid w:val="00945C3D"/>
    <w:rsid w:val="00994CAD"/>
    <w:rsid w:val="009D0986"/>
    <w:rsid w:val="009D3448"/>
    <w:rsid w:val="00A00C25"/>
    <w:rsid w:val="00A22A99"/>
    <w:rsid w:val="00A23F43"/>
    <w:rsid w:val="00A45073"/>
    <w:rsid w:val="00A53C44"/>
    <w:rsid w:val="00A8510C"/>
    <w:rsid w:val="00AA167B"/>
    <w:rsid w:val="00AB1F71"/>
    <w:rsid w:val="00AB27ED"/>
    <w:rsid w:val="00AD0E52"/>
    <w:rsid w:val="00AE652B"/>
    <w:rsid w:val="00B173FB"/>
    <w:rsid w:val="00B744A7"/>
    <w:rsid w:val="00B97D19"/>
    <w:rsid w:val="00BC542B"/>
    <w:rsid w:val="00C17636"/>
    <w:rsid w:val="00C270FF"/>
    <w:rsid w:val="00C54976"/>
    <w:rsid w:val="00CA5E2D"/>
    <w:rsid w:val="00D32EA7"/>
    <w:rsid w:val="00D611D0"/>
    <w:rsid w:val="00DA1DB9"/>
    <w:rsid w:val="00DC59C7"/>
    <w:rsid w:val="00DE1FCB"/>
    <w:rsid w:val="00E46C21"/>
    <w:rsid w:val="00E7488C"/>
    <w:rsid w:val="00E95489"/>
    <w:rsid w:val="00EE4F7F"/>
    <w:rsid w:val="00F301FA"/>
    <w:rsid w:val="00F31943"/>
    <w:rsid w:val="00F3602F"/>
    <w:rsid w:val="00F776BE"/>
    <w:rsid w:val="00F97242"/>
    <w:rsid w:val="00FE6F71"/>
    <w:rsid w:val="00F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707FC0-6F7B-4F48-AB99-3BEF61D2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86F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FB0"/>
    <w:pPr>
      <w:keepNext/>
      <w:keepLines/>
      <w:numPr>
        <w:numId w:val="4"/>
      </w:numPr>
      <w:spacing w:before="240" w:after="0"/>
      <w:ind w:left="567" w:hanging="567"/>
      <w:outlineLvl w:val="0"/>
    </w:pPr>
    <w:rPr>
      <w:rFonts w:eastAsiaTheme="majorEastAsia"/>
      <w:b/>
      <w:bCs/>
      <w:color w:val="175586"/>
      <w:sz w:val="28"/>
      <w:szCs w:val="28"/>
      <w:lang w:val="en-G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26FB0"/>
    <w:pPr>
      <w:numPr>
        <w:ilvl w:val="1"/>
      </w:numPr>
      <w:ind w:left="567" w:hanging="567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26FB0"/>
    <w:pPr>
      <w:numPr>
        <w:ilvl w:val="2"/>
      </w:numPr>
      <w:ind w:left="567" w:hanging="567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26FB0"/>
    <w:pPr>
      <w:numPr>
        <w:ilvl w:val="3"/>
      </w:numPr>
      <w:ind w:left="1418" w:hanging="1418"/>
      <w:outlineLvl w:val="3"/>
    </w:pPr>
    <w:rPr>
      <w:b w:val="0"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FB0"/>
    <w:rPr>
      <w:rFonts w:ascii="Arial" w:eastAsiaTheme="majorEastAsia" w:hAnsi="Arial" w:cs="Arial"/>
      <w:b/>
      <w:bCs/>
      <w:color w:val="175586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26FB0"/>
    <w:rPr>
      <w:rFonts w:ascii="Arial" w:eastAsiaTheme="majorEastAsia" w:hAnsi="Arial" w:cs="Arial"/>
      <w:b/>
      <w:bCs/>
      <w:color w:val="175586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E652B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E652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E652B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E652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E652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65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52B"/>
    <w:pPr>
      <w:ind w:left="720"/>
      <w:contextualSpacing/>
    </w:pPr>
    <w:rPr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E652B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E652B"/>
    <w:pPr>
      <w:spacing w:after="100"/>
    </w:pPr>
    <w:rPr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AE652B"/>
    <w:pPr>
      <w:spacing w:after="100"/>
      <w:ind w:left="220"/>
    </w:pPr>
    <w:rPr>
      <w:lang w:val="en-GB"/>
    </w:rPr>
  </w:style>
  <w:style w:type="paragraph" w:customStyle="1" w:styleId="Heading01Yellow">
    <w:name w:val="Heading01 Yellow"/>
    <w:basedOn w:val="Normal"/>
    <w:link w:val="Heading01YellowChar"/>
    <w:qFormat/>
    <w:rsid w:val="00AE652B"/>
    <w:pPr>
      <w:spacing w:before="120" w:after="120" w:line="240" w:lineRule="auto"/>
    </w:pPr>
    <w:rPr>
      <w:noProof/>
      <w:color w:val="D8AE18"/>
      <w:sz w:val="50"/>
      <w:szCs w:val="50"/>
      <w:lang w:eastAsia="en-AU"/>
    </w:rPr>
  </w:style>
  <w:style w:type="paragraph" w:customStyle="1" w:styleId="Heading01Blue">
    <w:name w:val="Heading01 Blue"/>
    <w:basedOn w:val="Normal"/>
    <w:link w:val="Heading01BlueChar"/>
    <w:qFormat/>
    <w:rsid w:val="00AE652B"/>
    <w:pPr>
      <w:spacing w:before="120" w:after="120" w:line="240" w:lineRule="auto"/>
    </w:pPr>
    <w:rPr>
      <w:b/>
      <w:color w:val="205686"/>
      <w:sz w:val="50"/>
      <w:szCs w:val="50"/>
    </w:rPr>
  </w:style>
  <w:style w:type="character" w:customStyle="1" w:styleId="Heading01YellowChar">
    <w:name w:val="Heading01 Yellow Char"/>
    <w:basedOn w:val="DefaultParagraphFont"/>
    <w:link w:val="Heading01Yellow"/>
    <w:rsid w:val="00AE652B"/>
    <w:rPr>
      <w:rFonts w:ascii="Arial" w:hAnsi="Arial" w:cs="Arial"/>
      <w:noProof/>
      <w:color w:val="D8AE18"/>
      <w:sz w:val="50"/>
      <w:szCs w:val="50"/>
      <w:lang w:eastAsia="en-AU"/>
    </w:rPr>
  </w:style>
  <w:style w:type="paragraph" w:customStyle="1" w:styleId="FeatureCopy">
    <w:name w:val="Feature Copy"/>
    <w:basedOn w:val="Normal"/>
    <w:link w:val="FeatureCopyChar"/>
    <w:qFormat/>
    <w:rsid w:val="00AE652B"/>
    <w:pPr>
      <w:spacing w:after="0" w:line="240" w:lineRule="auto"/>
    </w:pPr>
    <w:rPr>
      <w:color w:val="205686"/>
      <w:szCs w:val="20"/>
    </w:rPr>
  </w:style>
  <w:style w:type="character" w:customStyle="1" w:styleId="Heading01BlueChar">
    <w:name w:val="Heading01 Blue Char"/>
    <w:basedOn w:val="DefaultParagraphFont"/>
    <w:link w:val="Heading01Blue"/>
    <w:rsid w:val="00AE652B"/>
    <w:rPr>
      <w:rFonts w:ascii="Arial" w:hAnsi="Arial" w:cs="Arial"/>
      <w:b/>
      <w:color w:val="205686"/>
      <w:sz w:val="50"/>
      <w:szCs w:val="50"/>
    </w:rPr>
  </w:style>
  <w:style w:type="paragraph" w:customStyle="1" w:styleId="BodyCopy">
    <w:name w:val="Body Copy"/>
    <w:basedOn w:val="Normal"/>
    <w:link w:val="BodyCopyChar"/>
    <w:qFormat/>
    <w:rsid w:val="00AE652B"/>
    <w:pPr>
      <w:spacing w:after="0" w:line="240" w:lineRule="auto"/>
    </w:pPr>
    <w:rPr>
      <w:sz w:val="18"/>
      <w:szCs w:val="18"/>
    </w:rPr>
  </w:style>
  <w:style w:type="character" w:customStyle="1" w:styleId="FeatureCopyChar">
    <w:name w:val="Feature Copy Char"/>
    <w:basedOn w:val="DefaultParagraphFont"/>
    <w:link w:val="FeatureCopy"/>
    <w:rsid w:val="00AE652B"/>
    <w:rPr>
      <w:rFonts w:ascii="Arial" w:hAnsi="Arial" w:cs="Arial"/>
      <w:color w:val="205686"/>
      <w:szCs w:val="20"/>
    </w:rPr>
  </w:style>
  <w:style w:type="character" w:customStyle="1" w:styleId="BodyCopyChar">
    <w:name w:val="Body Copy Char"/>
    <w:basedOn w:val="DefaultParagraphFont"/>
    <w:link w:val="BodyCopy"/>
    <w:rsid w:val="00AE652B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2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92A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2A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2AC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92AC3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026FB0"/>
    <w:rPr>
      <w:rFonts w:ascii="Arial" w:eastAsiaTheme="majorEastAsia" w:hAnsi="Arial" w:cs="Arial"/>
      <w:b/>
      <w:bCs/>
      <w:color w:val="175586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26FB0"/>
    <w:rPr>
      <w:rFonts w:ascii="Arial" w:eastAsiaTheme="majorEastAsia" w:hAnsi="Arial" w:cs="Arial"/>
      <w:bCs/>
      <w:color w:val="1F497D" w:themeColor="text2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WALGA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Hansom</dc:creator>
  <cp:keywords/>
  <cp:lastModifiedBy>Saphron Stapleton</cp:lastModifiedBy>
  <cp:revision>2</cp:revision>
  <cp:lastPrinted>2015-06-15T04:43:00Z</cp:lastPrinted>
  <dcterms:created xsi:type="dcterms:W3CDTF">2017-05-24T03:57:00Z</dcterms:created>
  <dcterms:modified xsi:type="dcterms:W3CDTF">2017-05-24T03:57:00Z</dcterms:modified>
</cp:coreProperties>
</file>