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AF3E" w14:textId="77777777" w:rsidR="00374481" w:rsidRDefault="00374481" w:rsidP="007C1B38">
      <w:pPr>
        <w:jc w:val="both"/>
      </w:pPr>
    </w:p>
    <w:p w14:paraId="5D19E5F8" w14:textId="77777777" w:rsidR="00B74F5B" w:rsidRDefault="00953349" w:rsidP="007C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1418" w:hanging="1440"/>
        <w:jc w:val="both"/>
        <w:rPr>
          <w:rFonts w:eastAsia="Calibri"/>
          <w:i/>
        </w:rPr>
      </w:pPr>
      <w:r w:rsidRPr="00A83202">
        <w:rPr>
          <w:rFonts w:eastAsia="Calibri"/>
          <w:b/>
          <w:i/>
        </w:rPr>
        <w:t>WALGA Note:</w:t>
      </w:r>
      <w:r>
        <w:rPr>
          <w:rFonts w:eastAsia="Calibri"/>
          <w:i/>
        </w:rPr>
        <w:t xml:space="preserve"> </w:t>
      </w:r>
      <w:r w:rsidRPr="00A83202">
        <w:rPr>
          <w:rFonts w:eastAsia="Calibri"/>
          <w:i/>
        </w:rPr>
        <w:t xml:space="preserve">WALGA provides this template policy as a </w:t>
      </w:r>
      <w:r w:rsidRPr="00B74F5B">
        <w:rPr>
          <w:rFonts w:eastAsia="Calibri"/>
          <w:b/>
          <w:i/>
          <w:u w:val="single"/>
        </w:rPr>
        <w:t>guide</w:t>
      </w:r>
      <w:r w:rsidRPr="00A83202">
        <w:rPr>
          <w:rFonts w:eastAsia="Calibri"/>
          <w:i/>
        </w:rPr>
        <w:t xml:space="preserve"> for Local Governments</w:t>
      </w:r>
      <w:r w:rsidR="00315C8D">
        <w:rPr>
          <w:rFonts w:eastAsia="Calibri"/>
          <w:i/>
        </w:rPr>
        <w:t>.</w:t>
      </w:r>
      <w:r w:rsidRPr="00A83202">
        <w:rPr>
          <w:rFonts w:eastAsia="Calibri"/>
          <w:i/>
        </w:rPr>
        <w:t xml:space="preserve"> </w:t>
      </w:r>
      <w:r w:rsidR="00B74F5B">
        <w:rPr>
          <w:rFonts w:eastAsia="Calibri"/>
          <w:i/>
        </w:rPr>
        <w:tab/>
      </w:r>
      <w:r w:rsidRPr="00A83202">
        <w:rPr>
          <w:rFonts w:eastAsia="Calibri"/>
          <w:i/>
        </w:rPr>
        <w:t xml:space="preserve">This template policy provides suggested wording only and </w:t>
      </w:r>
      <w:r w:rsidR="006B622A">
        <w:rPr>
          <w:rFonts w:eastAsia="Calibri"/>
          <w:i/>
        </w:rPr>
        <w:t>L</w:t>
      </w:r>
      <w:r w:rsidRPr="00A83202">
        <w:rPr>
          <w:rFonts w:eastAsia="Calibri"/>
          <w:i/>
        </w:rPr>
        <w:t xml:space="preserve">ocal </w:t>
      </w:r>
      <w:r w:rsidR="006B622A">
        <w:rPr>
          <w:rFonts w:eastAsia="Calibri"/>
          <w:i/>
        </w:rPr>
        <w:t>G</w:t>
      </w:r>
      <w:r w:rsidRPr="00A83202">
        <w:rPr>
          <w:rFonts w:eastAsia="Calibri"/>
          <w:i/>
        </w:rPr>
        <w:t xml:space="preserve">overnments should </w:t>
      </w:r>
      <w:r w:rsidR="00B74F5B">
        <w:rPr>
          <w:rFonts w:eastAsia="Calibri"/>
          <w:i/>
        </w:rPr>
        <w:t xml:space="preserve">review this policy content and </w:t>
      </w:r>
      <w:r w:rsidRPr="00A83202">
        <w:rPr>
          <w:rFonts w:eastAsia="Calibri"/>
          <w:i/>
        </w:rPr>
        <w:t>consider, develop and implement policy suitable to their operational requirements.</w:t>
      </w:r>
    </w:p>
    <w:p w14:paraId="45983A7A" w14:textId="77777777" w:rsidR="00953349" w:rsidRDefault="00953349" w:rsidP="007C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1418" w:hanging="1440"/>
        <w:jc w:val="both"/>
        <w:rPr>
          <w:rFonts w:eastAsia="Calibri"/>
          <w:i/>
        </w:rPr>
      </w:pPr>
    </w:p>
    <w:p w14:paraId="7C083CEC" w14:textId="77777777" w:rsidR="00953349" w:rsidRPr="00A83202" w:rsidRDefault="00953349" w:rsidP="007C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1418" w:hanging="1440"/>
        <w:jc w:val="both"/>
        <w:rPr>
          <w:rFonts w:eastAsia="Calibri"/>
          <w:i/>
        </w:rPr>
      </w:pPr>
      <w:r w:rsidRPr="00B74F5B">
        <w:rPr>
          <w:rFonts w:eastAsia="Calibri"/>
          <w:b/>
          <w:i/>
        </w:rPr>
        <w:t>Remember:</w:t>
      </w:r>
      <w:r>
        <w:rPr>
          <w:rFonts w:eastAsia="Calibri"/>
          <w:i/>
        </w:rPr>
        <w:tab/>
      </w:r>
      <w:r w:rsidRPr="00A83202">
        <w:rPr>
          <w:rFonts w:eastAsia="Calibri"/>
          <w:i/>
        </w:rPr>
        <w:t xml:space="preserve">Policy implementation is </w:t>
      </w:r>
      <w:r>
        <w:rPr>
          <w:rFonts w:eastAsia="Calibri"/>
          <w:i/>
        </w:rPr>
        <w:t>given effect</w:t>
      </w:r>
      <w:r w:rsidRPr="00A83202">
        <w:rPr>
          <w:rFonts w:eastAsia="Calibri"/>
          <w:i/>
        </w:rPr>
        <w:t xml:space="preserve"> through appropriate induction, ongoing training and operational procedures that evidence </w:t>
      </w:r>
      <w:r w:rsidR="00786D50">
        <w:rPr>
          <w:rFonts w:eastAsia="Calibri"/>
          <w:i/>
        </w:rPr>
        <w:t>Council</w:t>
      </w:r>
      <w:r w:rsidRPr="00A83202">
        <w:rPr>
          <w:rFonts w:eastAsia="Calibri"/>
          <w:i/>
        </w:rPr>
        <w:t xml:space="preserve"> Members and Employees have been made aware of and are accountable for their obligations and responsibilities.</w:t>
      </w:r>
    </w:p>
    <w:p w14:paraId="63162B6F" w14:textId="77777777" w:rsidR="00953349" w:rsidRDefault="00953349" w:rsidP="007C1B38">
      <w:pPr>
        <w:jc w:val="both"/>
      </w:pPr>
    </w:p>
    <w:p w14:paraId="648D2B59" w14:textId="77777777" w:rsidR="00374481" w:rsidRDefault="00374481" w:rsidP="007C1B38">
      <w:pPr>
        <w:jc w:val="both"/>
      </w:pPr>
    </w:p>
    <w:p w14:paraId="16C4D000" w14:textId="77777777" w:rsidR="00374481" w:rsidRPr="00374481" w:rsidRDefault="00374481" w:rsidP="007C1B38">
      <w:pPr>
        <w:pBdr>
          <w:top w:val="single" w:sz="4" w:space="1" w:color="auto"/>
        </w:pBdr>
        <w:jc w:val="both"/>
        <w:rPr>
          <w:b/>
          <w:sz w:val="28"/>
          <w:szCs w:val="28"/>
        </w:rPr>
      </w:pPr>
      <w:r w:rsidRPr="00374481">
        <w:rPr>
          <w:b/>
          <w:sz w:val="28"/>
          <w:szCs w:val="28"/>
        </w:rPr>
        <w:t>Policy Objective</w:t>
      </w:r>
    </w:p>
    <w:p w14:paraId="176C3B3D" w14:textId="77777777" w:rsidR="00374481" w:rsidRDefault="00374481" w:rsidP="007C1B38">
      <w:pPr>
        <w:jc w:val="both"/>
      </w:pPr>
    </w:p>
    <w:p w14:paraId="2E293F38" w14:textId="0620E52A" w:rsidR="005A082B" w:rsidRDefault="00820B7A" w:rsidP="007C1B38">
      <w:pPr>
        <w:jc w:val="both"/>
        <w:rPr>
          <w:szCs w:val="18"/>
        </w:rPr>
      </w:pPr>
      <w:r>
        <w:rPr>
          <w:szCs w:val="18"/>
        </w:rPr>
        <w:t xml:space="preserve">To give effect to </w:t>
      </w:r>
      <w:r w:rsidR="00CB1056">
        <w:rPr>
          <w:szCs w:val="18"/>
        </w:rPr>
        <w:t xml:space="preserve">the </w:t>
      </w:r>
      <w:r w:rsidR="00CB1056" w:rsidRPr="009B76EA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CB1056" w:rsidRPr="009B76EA">
        <w:rPr>
          <w:highlight w:val="yellow"/>
        </w:rPr>
        <w:instrText xml:space="preserve"> FORMTEXT </w:instrText>
      </w:r>
      <w:r w:rsidR="00CB1056" w:rsidRPr="009B76EA">
        <w:rPr>
          <w:highlight w:val="yellow"/>
        </w:rPr>
      </w:r>
      <w:r w:rsidR="00CB1056" w:rsidRPr="009B76EA">
        <w:rPr>
          <w:highlight w:val="yellow"/>
        </w:rPr>
        <w:fldChar w:fldCharType="separate"/>
      </w:r>
      <w:r w:rsidR="00CB1056" w:rsidRPr="009B76EA">
        <w:rPr>
          <w:noProof/>
          <w:highlight w:val="yellow"/>
        </w:rPr>
        <w:t>&lt;&lt;Shire/ Town / City of XXX&gt;&gt;</w:t>
      </w:r>
      <w:r w:rsidR="00CB1056" w:rsidRPr="009B76EA">
        <w:rPr>
          <w:highlight w:val="yellow"/>
        </w:rPr>
        <w:fldChar w:fldCharType="end"/>
      </w:r>
      <w:r w:rsidR="00CB1056">
        <w:t>’s</w:t>
      </w:r>
      <w:r w:rsidR="00463CDE">
        <w:rPr>
          <w:szCs w:val="18"/>
        </w:rPr>
        <w:t xml:space="preserve"> </w:t>
      </w:r>
      <w:r>
        <w:rPr>
          <w:szCs w:val="18"/>
        </w:rPr>
        <w:t>commitment</w:t>
      </w:r>
      <w:r w:rsidR="005A082B">
        <w:rPr>
          <w:szCs w:val="18"/>
        </w:rPr>
        <w:t xml:space="preserve"> </w:t>
      </w:r>
      <w:r w:rsidR="00FA247A">
        <w:rPr>
          <w:szCs w:val="18"/>
        </w:rPr>
        <w:t xml:space="preserve">to </w:t>
      </w:r>
      <w:r w:rsidR="005A082B">
        <w:rPr>
          <w:szCs w:val="18"/>
        </w:rPr>
        <w:t xml:space="preserve">support </w:t>
      </w:r>
      <w:r w:rsidR="00B07D81">
        <w:rPr>
          <w:szCs w:val="18"/>
        </w:rPr>
        <w:t>those in need in our</w:t>
      </w:r>
      <w:r w:rsidR="005A082B">
        <w:rPr>
          <w:szCs w:val="18"/>
        </w:rPr>
        <w:t xml:space="preserve"> community to meet </w:t>
      </w:r>
      <w:r w:rsidR="00CB1056">
        <w:rPr>
          <w:szCs w:val="18"/>
        </w:rPr>
        <w:t xml:space="preserve">financial </w:t>
      </w:r>
      <w:r w:rsidR="005A082B">
        <w:rPr>
          <w:szCs w:val="18"/>
        </w:rPr>
        <w:t xml:space="preserve">challenges </w:t>
      </w:r>
      <w:r w:rsidR="00CB1056">
        <w:rPr>
          <w:szCs w:val="18"/>
        </w:rPr>
        <w:t>if they arise</w:t>
      </w:r>
      <w:r w:rsidR="00315C8D">
        <w:rPr>
          <w:szCs w:val="18"/>
        </w:rPr>
        <w:t xml:space="preserve">. </w:t>
      </w:r>
    </w:p>
    <w:p w14:paraId="7F6B19B0" w14:textId="77777777" w:rsidR="00E93675" w:rsidRDefault="00E93675" w:rsidP="007C1B38">
      <w:pPr>
        <w:jc w:val="both"/>
        <w:rPr>
          <w:szCs w:val="18"/>
        </w:rPr>
      </w:pPr>
    </w:p>
    <w:p w14:paraId="4AC566AE" w14:textId="0389F7EC" w:rsidR="00574A9F" w:rsidRDefault="008208DE" w:rsidP="007C1B38">
      <w:pPr>
        <w:jc w:val="both"/>
        <w:rPr>
          <w:szCs w:val="18"/>
        </w:rPr>
      </w:pPr>
      <w:r>
        <w:rPr>
          <w:szCs w:val="18"/>
        </w:rPr>
        <w:t>This Policy is intended t</w:t>
      </w:r>
      <w:r w:rsidR="00820B7A">
        <w:rPr>
          <w:szCs w:val="18"/>
        </w:rPr>
        <w:t>o</w:t>
      </w:r>
      <w:r w:rsidR="005A082B">
        <w:rPr>
          <w:szCs w:val="18"/>
        </w:rPr>
        <w:t xml:space="preserve"> </w:t>
      </w:r>
      <w:r w:rsidR="00820B7A">
        <w:rPr>
          <w:szCs w:val="18"/>
        </w:rPr>
        <w:t>ensure</w:t>
      </w:r>
      <w:r w:rsidR="00BE6909">
        <w:rPr>
          <w:szCs w:val="18"/>
        </w:rPr>
        <w:t xml:space="preserve"> that </w:t>
      </w:r>
      <w:r w:rsidR="00463CDE">
        <w:rPr>
          <w:szCs w:val="18"/>
        </w:rPr>
        <w:t xml:space="preserve">we offer </w:t>
      </w:r>
      <w:r>
        <w:rPr>
          <w:szCs w:val="18"/>
        </w:rPr>
        <w:t xml:space="preserve">fair, equitable, consistent and dignified </w:t>
      </w:r>
      <w:r w:rsidR="00BE6909">
        <w:rPr>
          <w:szCs w:val="18"/>
        </w:rPr>
        <w:t xml:space="preserve">support </w:t>
      </w:r>
      <w:r w:rsidR="00820B7A">
        <w:rPr>
          <w:szCs w:val="18"/>
        </w:rPr>
        <w:t xml:space="preserve">to </w:t>
      </w:r>
      <w:r w:rsidR="00B07D81">
        <w:rPr>
          <w:szCs w:val="18"/>
        </w:rPr>
        <w:t>R</w:t>
      </w:r>
      <w:r w:rsidR="00820B7A">
        <w:rPr>
          <w:szCs w:val="18"/>
        </w:rPr>
        <w:t xml:space="preserve">atepayers </w:t>
      </w:r>
      <w:r w:rsidR="00463CDE">
        <w:rPr>
          <w:szCs w:val="18"/>
        </w:rPr>
        <w:t>suffering hardship</w:t>
      </w:r>
      <w:r w:rsidR="00BE6909">
        <w:rPr>
          <w:szCs w:val="18"/>
        </w:rPr>
        <w:t xml:space="preserve">, while treating all members of the </w:t>
      </w:r>
      <w:r w:rsidR="00820B7A">
        <w:rPr>
          <w:szCs w:val="18"/>
        </w:rPr>
        <w:t>community</w:t>
      </w:r>
      <w:r w:rsidR="00BE6909">
        <w:rPr>
          <w:szCs w:val="18"/>
        </w:rPr>
        <w:t xml:space="preserve"> with respect</w:t>
      </w:r>
      <w:r w:rsidR="00463CDE">
        <w:rPr>
          <w:szCs w:val="18"/>
        </w:rPr>
        <w:t xml:space="preserve"> and understanding </w:t>
      </w:r>
      <w:r w:rsidR="00B07D81">
        <w:rPr>
          <w:szCs w:val="18"/>
        </w:rPr>
        <w:t>during financial hardship</w:t>
      </w:r>
      <w:r w:rsidR="00574A9F">
        <w:rPr>
          <w:szCs w:val="18"/>
        </w:rPr>
        <w:t>.</w:t>
      </w:r>
    </w:p>
    <w:p w14:paraId="1200F0DD" w14:textId="77777777" w:rsidR="00574A9F" w:rsidRDefault="00574A9F" w:rsidP="007C1B38">
      <w:pPr>
        <w:jc w:val="both"/>
      </w:pPr>
    </w:p>
    <w:p w14:paraId="492504FC" w14:textId="77777777" w:rsidR="00433914" w:rsidRPr="00374481" w:rsidRDefault="00433914" w:rsidP="007C1B38">
      <w:pPr>
        <w:pBdr>
          <w:top w:val="single" w:sz="4" w:space="1" w:color="auto"/>
        </w:pBdr>
        <w:jc w:val="both"/>
        <w:rPr>
          <w:b/>
          <w:sz w:val="28"/>
          <w:szCs w:val="28"/>
        </w:rPr>
      </w:pPr>
      <w:r w:rsidRPr="00374481">
        <w:rPr>
          <w:b/>
          <w:sz w:val="28"/>
          <w:szCs w:val="28"/>
        </w:rPr>
        <w:t xml:space="preserve">Policy </w:t>
      </w:r>
      <w:r>
        <w:rPr>
          <w:b/>
          <w:sz w:val="28"/>
          <w:szCs w:val="28"/>
        </w:rPr>
        <w:t>Scope</w:t>
      </w:r>
    </w:p>
    <w:p w14:paraId="2C3D01F4" w14:textId="77777777" w:rsidR="00433914" w:rsidRDefault="00433914" w:rsidP="007C1B38">
      <w:pPr>
        <w:jc w:val="both"/>
      </w:pPr>
    </w:p>
    <w:p w14:paraId="6BF9E029" w14:textId="77777777" w:rsidR="00DC25E3" w:rsidRDefault="00AC14A1" w:rsidP="00DC25E3">
      <w:pPr>
        <w:jc w:val="both"/>
      </w:pPr>
      <w:r>
        <w:t>T</w:t>
      </w:r>
      <w:r>
        <w:t xml:space="preserve">his Policy </w:t>
      </w:r>
      <w:r>
        <w:t>applies</w:t>
      </w:r>
      <w:r>
        <w:t xml:space="preserve"> to all Ratepayers </w:t>
      </w:r>
      <w:r>
        <w:t xml:space="preserve">of </w:t>
      </w:r>
      <w:r w:rsidRPr="009B76EA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Pr="009B76EA">
        <w:rPr>
          <w:highlight w:val="yellow"/>
        </w:rPr>
        <w:instrText xml:space="preserve"> FORMTEXT </w:instrText>
      </w:r>
      <w:r w:rsidRPr="009B76EA">
        <w:rPr>
          <w:highlight w:val="yellow"/>
        </w:rPr>
      </w:r>
      <w:r w:rsidRPr="009B76EA">
        <w:rPr>
          <w:highlight w:val="yellow"/>
        </w:rPr>
        <w:fldChar w:fldCharType="separate"/>
      </w:r>
      <w:r w:rsidRPr="009B76EA">
        <w:rPr>
          <w:noProof/>
          <w:highlight w:val="yellow"/>
        </w:rPr>
        <w:t>&lt;&lt;Shire/ Town / City of XXX&gt;&gt;</w:t>
      </w:r>
      <w:r w:rsidRPr="009B76EA">
        <w:rPr>
          <w:highlight w:val="yellow"/>
        </w:rPr>
        <w:fldChar w:fldCharType="end"/>
      </w:r>
      <w:r>
        <w:t xml:space="preserve">, experiencing </w:t>
      </w:r>
      <w:r>
        <w:t>f</w:t>
      </w:r>
      <w:r>
        <w:t xml:space="preserve">inancial </w:t>
      </w:r>
      <w:r>
        <w:t>h</w:t>
      </w:r>
      <w:r>
        <w:t>ardship and is applicable to</w:t>
      </w:r>
      <w:r w:rsidR="00D223E6">
        <w:t xml:space="preserve"> </w:t>
      </w:r>
      <w:r>
        <w:t>outstanding rates and service charges as at the date of adoption of this Policy</w:t>
      </w:r>
      <w:r w:rsidR="00A605B2">
        <w:t xml:space="preserve"> and as subsequently levied</w:t>
      </w:r>
      <w:r w:rsidR="00DC25E3">
        <w:t>.</w:t>
      </w:r>
    </w:p>
    <w:p w14:paraId="3C705C70" w14:textId="77777777" w:rsidR="00546C28" w:rsidRDefault="00546C28" w:rsidP="007C1B38">
      <w:pPr>
        <w:jc w:val="both"/>
      </w:pPr>
    </w:p>
    <w:p w14:paraId="20A10783" w14:textId="783D1638" w:rsidR="00947028" w:rsidRDefault="00546C28" w:rsidP="007C1B38">
      <w:pPr>
        <w:jc w:val="both"/>
      </w:pPr>
      <w:r>
        <w:t>T</w:t>
      </w:r>
      <w:r w:rsidR="0046676B">
        <w:t xml:space="preserve">he </w:t>
      </w:r>
      <w:r w:rsidR="00235DDF">
        <w:t xml:space="preserve">provisions of the </w:t>
      </w:r>
      <w:r w:rsidR="00235DDF" w:rsidRPr="00235DDF">
        <w:rPr>
          <w:i/>
        </w:rPr>
        <w:t>Local Government Act 1995</w:t>
      </w:r>
      <w:r>
        <w:t>,</w:t>
      </w:r>
      <w:r w:rsidR="001130C2">
        <w:t xml:space="preserve"> </w:t>
      </w:r>
      <w:r w:rsidR="00235DDF" w:rsidRPr="00235DDF">
        <w:rPr>
          <w:i/>
        </w:rPr>
        <w:t>Local Government (F</w:t>
      </w:r>
      <w:r w:rsidR="00235DDF">
        <w:rPr>
          <w:i/>
        </w:rPr>
        <w:t>inancial Management) Regulations 1996</w:t>
      </w:r>
      <w:r w:rsidR="00235DDF">
        <w:t xml:space="preserve"> </w:t>
      </w:r>
      <w:r>
        <w:t xml:space="preserve">and </w:t>
      </w:r>
      <w:r w:rsidRPr="0017710F">
        <w:rPr>
          <w:i/>
          <w:iCs/>
        </w:rPr>
        <w:t>Rates and Charges (Rebates and Deferments) Act 1992</w:t>
      </w:r>
      <w:r w:rsidR="001130C2">
        <w:t xml:space="preserve"> </w:t>
      </w:r>
      <w:r w:rsidR="00235DDF">
        <w:t xml:space="preserve">apply. </w:t>
      </w:r>
    </w:p>
    <w:p w14:paraId="5CA9EAEE" w14:textId="77777777" w:rsidR="00B10B61" w:rsidRPr="006244EF" w:rsidRDefault="00B10B61" w:rsidP="006244E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4EF" w14:paraId="514E8FF7" w14:textId="77777777" w:rsidTr="002B4022">
        <w:tc>
          <w:tcPr>
            <w:tcW w:w="9016" w:type="dxa"/>
            <w:shd w:val="clear" w:color="auto" w:fill="F2F2F2" w:themeFill="background1" w:themeFillShade="F2"/>
          </w:tcPr>
          <w:p w14:paraId="27FF5E85" w14:textId="77777777" w:rsidR="006244EF" w:rsidRDefault="006244EF" w:rsidP="00886A2D">
            <w:pPr>
              <w:tabs>
                <w:tab w:val="right" w:pos="8931"/>
              </w:tabs>
              <w:jc w:val="both"/>
            </w:pPr>
          </w:p>
          <w:p w14:paraId="0AD9EA43" w14:textId="13EECFF9" w:rsidR="006244EF" w:rsidRDefault="006244EF" w:rsidP="00886A2D">
            <w:pPr>
              <w:tabs>
                <w:tab w:val="right" w:pos="8931"/>
              </w:tabs>
              <w:jc w:val="both"/>
            </w:pPr>
            <w:r>
              <w:t>If you are experiencing financial hardsh</w:t>
            </w:r>
            <w:r w:rsidR="001E6801">
              <w:t xml:space="preserve">ip, </w:t>
            </w:r>
            <w:r w:rsidR="00EE1CA6">
              <w:t>don’t wait</w:t>
            </w:r>
            <w:r w:rsidR="002441FD">
              <w:t>, o</w:t>
            </w:r>
            <w:r w:rsidR="002441FD">
              <w:t>ur team is here to assist you</w:t>
            </w:r>
            <w:r w:rsidR="002441FD">
              <w:t xml:space="preserve">. </w:t>
            </w:r>
            <w:r w:rsidR="00F23778">
              <w:t>P</w:t>
            </w:r>
            <w:r w:rsidR="001E6801">
              <w:t xml:space="preserve">lease </w:t>
            </w:r>
            <w:r w:rsidR="001C7115">
              <w:t xml:space="preserve">contact our Rates Department on (08) </w:t>
            </w:r>
            <w:r w:rsidR="001C7115" w:rsidRPr="00A942BE">
              <w:rPr>
                <w:highlight w:val="yellow"/>
              </w:rPr>
              <w:t>9999 0000</w:t>
            </w:r>
            <w:r w:rsidR="001C7115">
              <w:t xml:space="preserve"> or by email on </w:t>
            </w:r>
            <w:hyperlink r:id="rId8" w:history="1">
              <w:r w:rsidR="001C7115" w:rsidRPr="00A942BE">
                <w:rPr>
                  <w:rStyle w:val="Hyperlink"/>
                  <w:highlight w:val="yellow"/>
                </w:rPr>
                <w:t>rates@LG.wa.gov.au</w:t>
              </w:r>
            </w:hyperlink>
            <w:r w:rsidR="001E6801">
              <w:t xml:space="preserve">. </w:t>
            </w:r>
            <w:r w:rsidR="002441FD">
              <w:t xml:space="preserve"> </w:t>
            </w:r>
            <w:r w:rsidR="00F23778">
              <w:t xml:space="preserve">You can </w:t>
            </w:r>
            <w:r w:rsidR="001E6801">
              <w:t>make a</w:t>
            </w:r>
            <w:r>
              <w:t xml:space="preserve"> Rates Financial Hardship Application</w:t>
            </w:r>
            <w:r w:rsidR="00EE1CA6">
              <w:t xml:space="preserve"> by completing and submitting the form </w:t>
            </w:r>
            <w:r>
              <w:t xml:space="preserve">found on the </w:t>
            </w:r>
            <w:r w:rsidRPr="009B76EA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Shire/ Town / City of XXX&gt;&gt;"/>
                  </w:textInput>
                </w:ffData>
              </w:fldChar>
            </w:r>
            <w:r w:rsidRPr="009B76EA">
              <w:rPr>
                <w:highlight w:val="yellow"/>
              </w:rPr>
              <w:instrText xml:space="preserve"> FORMTEXT </w:instrText>
            </w:r>
            <w:r w:rsidRPr="009B76EA">
              <w:rPr>
                <w:highlight w:val="yellow"/>
              </w:rPr>
            </w:r>
            <w:r w:rsidRPr="009B76EA">
              <w:rPr>
                <w:highlight w:val="yellow"/>
              </w:rPr>
              <w:fldChar w:fldCharType="separate"/>
            </w:r>
            <w:r w:rsidRPr="009B76EA">
              <w:rPr>
                <w:highlight w:val="yellow"/>
              </w:rPr>
              <w:t>&lt;&lt;Shire/ Town / City of XXX&gt;&gt;</w:t>
            </w:r>
            <w:r w:rsidRPr="009B76EA">
              <w:rPr>
                <w:highlight w:val="yellow"/>
              </w:rPr>
              <w:fldChar w:fldCharType="end"/>
            </w:r>
            <w:r>
              <w:t xml:space="preserve">’s website. </w:t>
            </w:r>
          </w:p>
          <w:p w14:paraId="64FCCCED" w14:textId="77777777" w:rsidR="006244EF" w:rsidRDefault="006244EF" w:rsidP="00886A2D">
            <w:pPr>
              <w:tabs>
                <w:tab w:val="right" w:pos="8931"/>
              </w:tabs>
              <w:jc w:val="both"/>
            </w:pPr>
          </w:p>
        </w:tc>
      </w:tr>
    </w:tbl>
    <w:p w14:paraId="3F832B36" w14:textId="77777777" w:rsidR="006244EF" w:rsidRPr="006244EF" w:rsidRDefault="006244EF" w:rsidP="006244EF">
      <w:pPr>
        <w:jc w:val="both"/>
      </w:pPr>
    </w:p>
    <w:p w14:paraId="5860DCFC" w14:textId="77777777" w:rsidR="006244EF" w:rsidRPr="006244EF" w:rsidRDefault="006244EF" w:rsidP="006244EF">
      <w:pPr>
        <w:jc w:val="both"/>
      </w:pPr>
    </w:p>
    <w:p w14:paraId="7DA68B18" w14:textId="77777777" w:rsidR="00374481" w:rsidRPr="00ED59D0" w:rsidRDefault="00374481" w:rsidP="00B10B61">
      <w:pPr>
        <w:pBdr>
          <w:top w:val="single" w:sz="4" w:space="1" w:color="auto"/>
        </w:pBdr>
        <w:rPr>
          <w:b/>
          <w:sz w:val="28"/>
          <w:szCs w:val="28"/>
        </w:rPr>
      </w:pPr>
      <w:r w:rsidRPr="00ED59D0">
        <w:rPr>
          <w:b/>
          <w:sz w:val="28"/>
          <w:szCs w:val="28"/>
        </w:rPr>
        <w:t>Policy Statement</w:t>
      </w:r>
    </w:p>
    <w:p w14:paraId="7933015D" w14:textId="77777777" w:rsidR="007214C8" w:rsidRPr="00FA247A" w:rsidRDefault="00B25B0F" w:rsidP="0001175D">
      <w:pPr>
        <w:pStyle w:val="Heading1"/>
      </w:pPr>
      <w:r w:rsidRPr="00FA247A">
        <w:t>Payment difficulties, hardship and vulnerability</w:t>
      </w:r>
      <w:r w:rsidRPr="0001175D">
        <w:rPr>
          <w:rStyle w:val="FootnoteReference"/>
        </w:rPr>
        <w:footnoteReference w:id="1"/>
      </w:r>
    </w:p>
    <w:p w14:paraId="34C8517C" w14:textId="5586866F" w:rsidR="00B25B0F" w:rsidRPr="00FE3D5C" w:rsidRDefault="00B25B0F" w:rsidP="007C1B38">
      <w:pPr>
        <w:tabs>
          <w:tab w:val="right" w:pos="8931"/>
        </w:tabs>
        <w:jc w:val="both"/>
      </w:pPr>
      <w:r w:rsidRPr="00FE3D5C">
        <w:t xml:space="preserve">Payment difficulties, or </w:t>
      </w:r>
      <w:r w:rsidR="00F65784" w:rsidRPr="00FE3D5C">
        <w:t>short-term</w:t>
      </w:r>
      <w:r w:rsidRPr="00FE3D5C">
        <w:t xml:space="preserve"> financial hardship</w:t>
      </w:r>
      <w:r w:rsidR="00924A6A" w:rsidRPr="00FE3D5C">
        <w:t>, occur</w:t>
      </w:r>
      <w:r w:rsidRPr="00FE3D5C">
        <w:t xml:space="preserve"> where a change in a person’s circumstances result in an inability to pay </w:t>
      </w:r>
      <w:r w:rsidR="00652EF1" w:rsidRPr="00FE3D5C">
        <w:t>a</w:t>
      </w:r>
      <w:r w:rsidR="0017710F">
        <w:t xml:space="preserve"> </w:t>
      </w:r>
      <w:r w:rsidR="00652EF1" w:rsidRPr="00FE3D5C">
        <w:t>rates or service charge debt</w:t>
      </w:r>
      <w:r w:rsidRPr="00FE3D5C">
        <w:t>.</w:t>
      </w:r>
    </w:p>
    <w:p w14:paraId="03EACFE7" w14:textId="77777777" w:rsidR="00B25B0F" w:rsidRPr="00304AF0" w:rsidRDefault="00B25B0F" w:rsidP="007C1B38">
      <w:pPr>
        <w:tabs>
          <w:tab w:val="right" w:pos="8931"/>
        </w:tabs>
        <w:jc w:val="both"/>
      </w:pPr>
    </w:p>
    <w:p w14:paraId="62246A08" w14:textId="77777777" w:rsidR="00797D4B" w:rsidRDefault="00B25B0F" w:rsidP="007C1B38">
      <w:pPr>
        <w:tabs>
          <w:tab w:val="right" w:pos="8931"/>
        </w:tabs>
        <w:jc w:val="both"/>
      </w:pPr>
      <w:r w:rsidRPr="00304AF0">
        <w:t xml:space="preserve">Financial hardship occurs where a person is unable to pay </w:t>
      </w:r>
      <w:r w:rsidR="00F65784">
        <w:t>a debt</w:t>
      </w:r>
      <w:r w:rsidR="003A029F">
        <w:t xml:space="preserve"> </w:t>
      </w:r>
      <w:r w:rsidRPr="00304AF0">
        <w:t xml:space="preserve">without affecting their ability to meet their basic living needs, or the basic living needs of their dependants. </w:t>
      </w:r>
      <w:r w:rsidR="00AB2009" w:rsidRPr="00304AF0">
        <w:t xml:space="preserve">The </w:t>
      </w:r>
      <w:r w:rsidR="00AB2009" w:rsidRPr="00DB19F8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AB2009" w:rsidRPr="00DB19F8">
        <w:rPr>
          <w:highlight w:val="yellow"/>
        </w:rPr>
        <w:instrText xml:space="preserve"> FORMTEXT </w:instrText>
      </w:r>
      <w:r w:rsidR="00AB2009" w:rsidRPr="00DB19F8">
        <w:rPr>
          <w:highlight w:val="yellow"/>
        </w:rPr>
      </w:r>
      <w:r w:rsidR="00AB2009" w:rsidRPr="00DB19F8">
        <w:rPr>
          <w:highlight w:val="yellow"/>
        </w:rPr>
        <w:fldChar w:fldCharType="separate"/>
      </w:r>
      <w:r w:rsidR="00AB2009" w:rsidRPr="00DB19F8">
        <w:rPr>
          <w:noProof/>
          <w:highlight w:val="yellow"/>
        </w:rPr>
        <w:t xml:space="preserve">&lt;&lt;Shire/ </w:t>
      </w:r>
      <w:r w:rsidR="00AB2009" w:rsidRPr="00DB19F8">
        <w:rPr>
          <w:noProof/>
          <w:highlight w:val="yellow"/>
        </w:rPr>
        <w:lastRenderedPageBreak/>
        <w:t>Town / City of XXX&gt;&gt;</w:t>
      </w:r>
      <w:r w:rsidR="00AB2009" w:rsidRPr="00DB19F8">
        <w:rPr>
          <w:highlight w:val="yellow"/>
        </w:rPr>
        <w:fldChar w:fldCharType="end"/>
      </w:r>
      <w:r w:rsidR="00AB2009" w:rsidRPr="00304AF0">
        <w:t xml:space="preserve"> recognises </w:t>
      </w:r>
      <w:r w:rsidR="00655035">
        <w:t xml:space="preserve">that </w:t>
      </w:r>
      <w:r w:rsidR="009513CF">
        <w:t>people</w:t>
      </w:r>
      <w:r w:rsidR="00655035">
        <w:t xml:space="preserve"> in our community </w:t>
      </w:r>
      <w:r w:rsidR="009513CF">
        <w:t xml:space="preserve">may </w:t>
      </w:r>
      <w:r w:rsidR="00D51258">
        <w:t>be</w:t>
      </w:r>
      <w:r w:rsidR="00655035">
        <w:t xml:space="preserve"> experienc</w:t>
      </w:r>
      <w:r w:rsidR="00D51258">
        <w:t>ing</w:t>
      </w:r>
      <w:r w:rsidR="00AB2009" w:rsidRPr="00304AF0">
        <w:t xml:space="preserve"> payment difficulties, financial hardship and vulnerability. </w:t>
      </w:r>
    </w:p>
    <w:p w14:paraId="0D692C9B" w14:textId="77777777" w:rsidR="00797D4B" w:rsidRDefault="00797D4B" w:rsidP="007C1B38">
      <w:pPr>
        <w:tabs>
          <w:tab w:val="right" w:pos="8931"/>
        </w:tabs>
        <w:jc w:val="both"/>
      </w:pPr>
    </w:p>
    <w:p w14:paraId="623679D4" w14:textId="21F60E56" w:rsidR="00A537D8" w:rsidRDefault="00924A6A" w:rsidP="007C1B38">
      <w:pPr>
        <w:tabs>
          <w:tab w:val="right" w:pos="8931"/>
        </w:tabs>
        <w:jc w:val="both"/>
      </w:pPr>
      <w:r w:rsidRPr="00304AF0">
        <w:t xml:space="preserve">This policy is intended to </w:t>
      </w:r>
      <w:r w:rsidR="00A55BE2" w:rsidRPr="00304AF0">
        <w:t xml:space="preserve">apply to </w:t>
      </w:r>
      <w:r w:rsidR="00277F13">
        <w:t>R</w:t>
      </w:r>
      <w:r w:rsidR="00A55BE2" w:rsidRPr="00304AF0">
        <w:t>atepayers</w:t>
      </w:r>
      <w:r w:rsidR="00277F13">
        <w:t xml:space="preserve"> </w:t>
      </w:r>
      <w:r w:rsidR="00A55BE2" w:rsidRPr="00304AF0">
        <w:t xml:space="preserve">experiencing </w:t>
      </w:r>
      <w:r w:rsidR="00FA247A">
        <w:t>financial hardship</w:t>
      </w:r>
      <w:r w:rsidR="00A55BE2" w:rsidRPr="00304AF0">
        <w:t>.</w:t>
      </w:r>
    </w:p>
    <w:p w14:paraId="5EEC9A99" w14:textId="2945A800" w:rsidR="007214C8" w:rsidRDefault="007214C8" w:rsidP="0001175D">
      <w:pPr>
        <w:pStyle w:val="Heading1"/>
      </w:pPr>
      <w:r>
        <w:t>A</w:t>
      </w:r>
      <w:r w:rsidR="003A029F">
        <w:t xml:space="preserve">nticipated Financial Hardship </w:t>
      </w:r>
    </w:p>
    <w:p w14:paraId="35F3BE98" w14:textId="5B0E635B" w:rsidR="003A029F" w:rsidRDefault="003A029F" w:rsidP="007C1B38">
      <w:pPr>
        <w:tabs>
          <w:tab w:val="right" w:pos="8931"/>
        </w:tabs>
        <w:jc w:val="both"/>
      </w:pPr>
      <w:r>
        <w:t xml:space="preserve">We recognise that </w:t>
      </w:r>
      <w:r w:rsidR="00E15945">
        <w:t xml:space="preserve">some </w:t>
      </w:r>
      <w:r w:rsidR="00797D4B">
        <w:t>R</w:t>
      </w:r>
      <w:r w:rsidR="00A70B25" w:rsidRPr="00304AF0">
        <w:t xml:space="preserve">atepayers </w:t>
      </w:r>
      <w:r w:rsidR="00D51258">
        <w:t xml:space="preserve">may </w:t>
      </w:r>
      <w:r w:rsidR="00A70B25" w:rsidRPr="00304AF0">
        <w:t>experienc</w:t>
      </w:r>
      <w:r w:rsidR="00D51258">
        <w:t>e</w:t>
      </w:r>
      <w:r w:rsidR="00A70B25" w:rsidRPr="00304AF0">
        <w:t xml:space="preserve"> financial hardship</w:t>
      </w:r>
      <w:r>
        <w:t xml:space="preserve"> </w:t>
      </w:r>
      <w:r w:rsidR="00E15945">
        <w:t>and we</w:t>
      </w:r>
      <w:r>
        <w:t xml:space="preserve"> respect and anticipate the probability that additional financial difficulties will arise when rates</w:t>
      </w:r>
      <w:r w:rsidR="00461718">
        <w:t xml:space="preserve"> notice</w:t>
      </w:r>
      <w:r w:rsidR="00300616">
        <w:t>s</w:t>
      </w:r>
      <w:r>
        <w:t xml:space="preserve"> are received. </w:t>
      </w:r>
    </w:p>
    <w:p w14:paraId="62E38CFB" w14:textId="77777777" w:rsidR="003A029F" w:rsidRDefault="003A029F" w:rsidP="007C1B38">
      <w:pPr>
        <w:tabs>
          <w:tab w:val="right" w:pos="8931"/>
        </w:tabs>
        <w:jc w:val="both"/>
      </w:pPr>
    </w:p>
    <w:p w14:paraId="4EA46920" w14:textId="3795E839" w:rsidR="00924A6A" w:rsidRPr="00304AF0" w:rsidRDefault="003A029F" w:rsidP="007C1B38">
      <w:pPr>
        <w:tabs>
          <w:tab w:val="right" w:pos="8931"/>
        </w:tabs>
        <w:jc w:val="both"/>
      </w:pPr>
      <w:r>
        <w:t>We will write t</w:t>
      </w:r>
      <w:r w:rsidR="00924A6A" w:rsidRPr="00304AF0">
        <w:t xml:space="preserve">o </w:t>
      </w:r>
      <w:r w:rsidR="00A463E9">
        <w:t>R</w:t>
      </w:r>
      <w:r w:rsidR="00924A6A" w:rsidRPr="00304AF0">
        <w:t xml:space="preserve">atepayers at the time their </w:t>
      </w:r>
      <w:r w:rsidR="00A463E9">
        <w:t xml:space="preserve">rating </w:t>
      </w:r>
      <w:r w:rsidR="00924A6A" w:rsidRPr="00304AF0">
        <w:t xml:space="preserve">account falls into arrears, to advise them of the terms of this policy and encourage eligible </w:t>
      </w:r>
      <w:r w:rsidR="00097EF7">
        <w:t>R</w:t>
      </w:r>
      <w:r w:rsidR="00924A6A" w:rsidRPr="00304AF0">
        <w:t xml:space="preserve">atepayers to apply for hardship consideration. </w:t>
      </w:r>
      <w:r w:rsidR="00304AF0">
        <w:t xml:space="preserve">Where possible and appropriate, </w:t>
      </w:r>
      <w:r w:rsidR="007844E6">
        <w:t xml:space="preserve">we will also provide </w:t>
      </w:r>
      <w:r w:rsidR="00304AF0">
        <w:rPr>
          <w:szCs w:val="18"/>
        </w:rPr>
        <w:t>contact information for a recognised financial counsellor and/or other relevant support services.</w:t>
      </w:r>
    </w:p>
    <w:p w14:paraId="1461D8B4" w14:textId="61A01BF3" w:rsidR="003672AD" w:rsidRDefault="003672AD" w:rsidP="0001175D">
      <w:pPr>
        <w:pStyle w:val="Heading1"/>
      </w:pPr>
      <w:r>
        <w:t>Financial Hardship Criteri</w:t>
      </w:r>
      <w:r w:rsidR="0001175D">
        <w:t>a</w:t>
      </w:r>
    </w:p>
    <w:p w14:paraId="08C33056" w14:textId="5F8AE4E9" w:rsidR="003672AD" w:rsidRDefault="003672AD" w:rsidP="007C1B38">
      <w:pPr>
        <w:tabs>
          <w:tab w:val="right" w:pos="8931"/>
        </w:tabs>
        <w:jc w:val="both"/>
      </w:pPr>
      <w:r>
        <w:t>W</w:t>
      </w:r>
      <w:r w:rsidR="00E837C7" w:rsidRPr="00304AF0">
        <w:t xml:space="preserve">hile evidence of </w:t>
      </w:r>
      <w:r w:rsidR="000B0ACD">
        <w:t xml:space="preserve">financial </w:t>
      </w:r>
      <w:r w:rsidR="00E837C7" w:rsidRPr="00304AF0">
        <w:t xml:space="preserve">hardship will be required, </w:t>
      </w:r>
      <w:r>
        <w:t xml:space="preserve">we recognise that not all circumstances are alike. We will take a </w:t>
      </w:r>
      <w:r w:rsidR="00A70B25" w:rsidRPr="00304AF0">
        <w:t xml:space="preserve">flexible approach </w:t>
      </w:r>
      <w:r>
        <w:t>to a range of individual circumstances including, but not limited to, the following situations:</w:t>
      </w:r>
    </w:p>
    <w:p w14:paraId="4321F689" w14:textId="77777777" w:rsidR="003672AD" w:rsidRDefault="000060CC" w:rsidP="007C1B38">
      <w:pPr>
        <w:pStyle w:val="ListParagraph"/>
        <w:numPr>
          <w:ilvl w:val="0"/>
          <w:numId w:val="7"/>
        </w:numPr>
        <w:tabs>
          <w:tab w:val="right" w:pos="8931"/>
        </w:tabs>
        <w:jc w:val="both"/>
      </w:pPr>
      <w:r>
        <w:t>Recent u</w:t>
      </w:r>
      <w:r w:rsidR="003672AD">
        <w:t>nemployment or under-employment</w:t>
      </w:r>
    </w:p>
    <w:p w14:paraId="08FBAE74" w14:textId="77777777" w:rsidR="00A55BE2" w:rsidRPr="00304AF0" w:rsidRDefault="003672AD" w:rsidP="007C1B38">
      <w:pPr>
        <w:pStyle w:val="ListParagraph"/>
        <w:numPr>
          <w:ilvl w:val="0"/>
          <w:numId w:val="7"/>
        </w:numPr>
        <w:tabs>
          <w:tab w:val="right" w:pos="8931"/>
        </w:tabs>
        <w:jc w:val="both"/>
      </w:pPr>
      <w:r>
        <w:t>Sickness or recovery from sickness</w:t>
      </w:r>
      <w:r w:rsidR="00E837C7" w:rsidRPr="00304AF0">
        <w:t xml:space="preserve"> </w:t>
      </w:r>
    </w:p>
    <w:p w14:paraId="3A6052F6" w14:textId="77777777" w:rsidR="00A55BE2" w:rsidRPr="00304AF0" w:rsidRDefault="003672AD" w:rsidP="007C1B38">
      <w:pPr>
        <w:pStyle w:val="ListParagraph"/>
        <w:numPr>
          <w:ilvl w:val="0"/>
          <w:numId w:val="7"/>
        </w:numPr>
        <w:tabs>
          <w:tab w:val="right" w:pos="8931"/>
        </w:tabs>
        <w:jc w:val="both"/>
      </w:pPr>
      <w:r>
        <w:t>Low income or loss of income</w:t>
      </w:r>
      <w:r w:rsidR="00E837C7" w:rsidRPr="00304AF0">
        <w:t xml:space="preserve"> </w:t>
      </w:r>
    </w:p>
    <w:p w14:paraId="1C5B7166" w14:textId="6E517751" w:rsidR="003672AD" w:rsidRPr="00304AF0" w:rsidRDefault="003672AD" w:rsidP="003672AD">
      <w:pPr>
        <w:pStyle w:val="ListParagraph"/>
        <w:numPr>
          <w:ilvl w:val="0"/>
          <w:numId w:val="7"/>
        </w:numPr>
        <w:tabs>
          <w:tab w:val="right" w:pos="8931"/>
        </w:tabs>
        <w:jc w:val="both"/>
      </w:pPr>
      <w:r>
        <w:t xml:space="preserve">Unanticipated circumstances such </w:t>
      </w:r>
      <w:r w:rsidR="00E61C0D">
        <w:t xml:space="preserve">as </w:t>
      </w:r>
      <w:r>
        <w:t>caring for and supporting extended family</w:t>
      </w:r>
      <w:r w:rsidR="00BD6DB6">
        <w:t>.</w:t>
      </w:r>
    </w:p>
    <w:p w14:paraId="5F846E9A" w14:textId="1EE99BD6" w:rsidR="00300616" w:rsidRDefault="00A537D8" w:rsidP="007C1B38">
      <w:pPr>
        <w:tabs>
          <w:tab w:val="right" w:pos="8931"/>
        </w:tabs>
        <w:jc w:val="both"/>
      </w:pPr>
      <w:r w:rsidRPr="00304AF0">
        <w:t xml:space="preserve">Ratepayers are encouraged to provide information about their individual circumstances that may be relevant </w:t>
      </w:r>
      <w:r w:rsidR="003672AD">
        <w:t xml:space="preserve">for assessment. </w:t>
      </w:r>
      <w:r w:rsidRPr="00304AF0">
        <w:t xml:space="preserve">This may include demonstrating </w:t>
      </w:r>
      <w:r w:rsidR="003672AD">
        <w:t xml:space="preserve">a capacity to make some payment and where possible, entering into </w:t>
      </w:r>
      <w:r w:rsidR="00E837C7" w:rsidRPr="00304AF0">
        <w:t>a payment proposal.</w:t>
      </w:r>
      <w:r w:rsidR="007844E6">
        <w:t xml:space="preserve"> </w:t>
      </w:r>
      <w:r w:rsidR="0046676B">
        <w:t xml:space="preserve">We will consider </w:t>
      </w:r>
      <w:r w:rsidRPr="00304AF0">
        <w:t xml:space="preserve">all circumstances, applying the principles of fairness, integrity and confidentiality whilst complying </w:t>
      </w:r>
      <w:r w:rsidR="007844E6">
        <w:t xml:space="preserve">our </w:t>
      </w:r>
      <w:r w:rsidRPr="00304AF0">
        <w:t xml:space="preserve">statutory </w:t>
      </w:r>
      <w:r w:rsidR="007844E6">
        <w:t>responsibilities</w:t>
      </w:r>
      <w:r w:rsidRPr="00304AF0">
        <w:t xml:space="preserve">. </w:t>
      </w:r>
    </w:p>
    <w:p w14:paraId="3392D98F" w14:textId="1003C74B" w:rsidR="00A70B25" w:rsidRDefault="0046676B" w:rsidP="0001175D">
      <w:pPr>
        <w:pStyle w:val="Heading1"/>
      </w:pPr>
      <w:r>
        <w:t>Payment</w:t>
      </w:r>
      <w:r w:rsidR="00437566">
        <w:t xml:space="preserve"> Agreements</w:t>
      </w:r>
    </w:p>
    <w:p w14:paraId="23B10F01" w14:textId="111CD225" w:rsidR="00B000B5" w:rsidRDefault="00B000B5" w:rsidP="0001175D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Payment arrangements </w:t>
      </w:r>
      <w:r w:rsidR="0004205C">
        <w:rPr>
          <w:sz w:val="22"/>
          <w:szCs w:val="22"/>
        </w:rPr>
        <w:t xml:space="preserve">may be </w:t>
      </w:r>
      <w:r w:rsidR="00717753">
        <w:rPr>
          <w:sz w:val="22"/>
          <w:szCs w:val="22"/>
        </w:rPr>
        <w:t>made</w:t>
      </w:r>
      <w:r>
        <w:rPr>
          <w:sz w:val="22"/>
          <w:szCs w:val="22"/>
        </w:rPr>
        <w:t xml:space="preserve"> in accordance with Section 6.49 of the Act </w:t>
      </w:r>
      <w:r w:rsidR="00A942BE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are </w:t>
      </w:r>
      <w:r w:rsidR="00712069">
        <w:rPr>
          <w:sz w:val="22"/>
          <w:szCs w:val="22"/>
        </w:rPr>
        <w:t>to include</w:t>
      </w:r>
      <w:r>
        <w:rPr>
          <w:sz w:val="22"/>
          <w:szCs w:val="22"/>
        </w:rPr>
        <w:t xml:space="preserve"> an agreed </w:t>
      </w:r>
      <w:r w:rsidR="006244EF">
        <w:rPr>
          <w:sz w:val="22"/>
          <w:szCs w:val="22"/>
        </w:rPr>
        <w:t xml:space="preserve">payment </w:t>
      </w:r>
      <w:r>
        <w:rPr>
          <w:sz w:val="22"/>
          <w:szCs w:val="22"/>
        </w:rPr>
        <w:t xml:space="preserve">frequency and amount. </w:t>
      </w:r>
      <w:r w:rsidR="00437566">
        <w:rPr>
          <w:sz w:val="22"/>
          <w:szCs w:val="22"/>
        </w:rPr>
        <w:t xml:space="preserve">Rates </w:t>
      </w:r>
      <w:r w:rsidR="00905AAC">
        <w:rPr>
          <w:sz w:val="22"/>
          <w:szCs w:val="22"/>
        </w:rPr>
        <w:t>f</w:t>
      </w:r>
      <w:r w:rsidR="00437566">
        <w:rPr>
          <w:sz w:val="22"/>
          <w:szCs w:val="22"/>
        </w:rPr>
        <w:t xml:space="preserve">inancial </w:t>
      </w:r>
      <w:r w:rsidR="00905AAC">
        <w:rPr>
          <w:sz w:val="22"/>
          <w:szCs w:val="22"/>
        </w:rPr>
        <w:t>h</w:t>
      </w:r>
      <w:r w:rsidR="00437566">
        <w:rPr>
          <w:sz w:val="22"/>
          <w:szCs w:val="22"/>
        </w:rPr>
        <w:t>ardship, payment</w:t>
      </w:r>
      <w:r w:rsidR="00905AAC">
        <w:rPr>
          <w:sz w:val="22"/>
          <w:szCs w:val="22"/>
        </w:rPr>
        <w:t xml:space="preserve"> plan</w:t>
      </w:r>
      <w:r w:rsidR="00EC354D">
        <w:rPr>
          <w:sz w:val="22"/>
          <w:szCs w:val="22"/>
        </w:rPr>
        <w:t xml:space="preserve"> applications</w:t>
      </w:r>
      <w:r>
        <w:rPr>
          <w:sz w:val="22"/>
          <w:szCs w:val="22"/>
        </w:rPr>
        <w:t xml:space="preserve"> will </w:t>
      </w:r>
      <w:r w:rsidR="005D335C">
        <w:rPr>
          <w:sz w:val="22"/>
          <w:szCs w:val="22"/>
        </w:rPr>
        <w:t>be considered in context of</w:t>
      </w:r>
      <w:r>
        <w:rPr>
          <w:sz w:val="22"/>
          <w:szCs w:val="22"/>
        </w:rPr>
        <w:t>:</w:t>
      </w:r>
    </w:p>
    <w:p w14:paraId="5A995AD9" w14:textId="7BBFE36A" w:rsidR="00B000B5" w:rsidRDefault="005D335C" w:rsidP="0001175D">
      <w:pPr>
        <w:pStyle w:val="ListParagraph"/>
        <w:numPr>
          <w:ilvl w:val="0"/>
          <w:numId w:val="7"/>
        </w:numPr>
        <w:tabs>
          <w:tab w:val="right" w:pos="8931"/>
        </w:tabs>
        <w:jc w:val="both"/>
      </w:pPr>
      <w:r>
        <w:t>The Ratepayer</w:t>
      </w:r>
      <w:r w:rsidR="00B000B5">
        <w:t xml:space="preserve"> has made genuine effort to meet rate </w:t>
      </w:r>
      <w:r w:rsidR="00FA247A">
        <w:t xml:space="preserve">and service charge </w:t>
      </w:r>
      <w:r w:rsidR="00B000B5">
        <w:t>obligations in the past</w:t>
      </w:r>
      <w:r w:rsidR="004D6194">
        <w:t>.</w:t>
      </w:r>
    </w:p>
    <w:p w14:paraId="483F2D98" w14:textId="680839DC" w:rsidR="005A725D" w:rsidRDefault="005A725D" w:rsidP="0001175D">
      <w:pPr>
        <w:pStyle w:val="ListParagraph"/>
        <w:numPr>
          <w:ilvl w:val="0"/>
          <w:numId w:val="7"/>
        </w:numPr>
        <w:tabs>
          <w:tab w:val="right" w:pos="8931"/>
        </w:tabs>
        <w:jc w:val="both"/>
      </w:pPr>
      <w:r>
        <w:t xml:space="preserve">The payment </w:t>
      </w:r>
      <w:r w:rsidR="00905AAC">
        <w:t>plan</w:t>
      </w:r>
      <w:r>
        <w:t xml:space="preserve"> will </w:t>
      </w:r>
      <w:r w:rsidR="003E0B67">
        <w:t>clear the debt</w:t>
      </w:r>
      <w:r w:rsidR="003E0B67">
        <w:t xml:space="preserve"> within an agreed</w:t>
      </w:r>
      <w:r>
        <w:t xml:space="preserve"> end date that is realistic and achievable</w:t>
      </w:r>
      <w:r w:rsidR="004D6194">
        <w:t>.</w:t>
      </w:r>
    </w:p>
    <w:p w14:paraId="3AC4F63D" w14:textId="369BBDEB" w:rsidR="00A70B25" w:rsidRPr="00304AF0" w:rsidRDefault="005A725D" w:rsidP="0001175D">
      <w:pPr>
        <w:pStyle w:val="ListParagraph"/>
        <w:numPr>
          <w:ilvl w:val="0"/>
          <w:numId w:val="7"/>
        </w:numPr>
        <w:tabs>
          <w:tab w:val="right" w:pos="8931"/>
        </w:tabs>
        <w:jc w:val="both"/>
      </w:pPr>
      <w:r>
        <w:t xml:space="preserve">The ratepayer </w:t>
      </w:r>
      <w:r w:rsidR="004D6194">
        <w:t>is</w:t>
      </w:r>
      <w:r>
        <w:t xml:space="preserve"> responsible for informing </w:t>
      </w:r>
      <w:r w:rsidR="00FA247A">
        <w:t xml:space="preserve">the </w:t>
      </w:r>
      <w:r w:rsidR="00FA247A" w:rsidRPr="009B76EA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FA247A" w:rsidRPr="009B76EA">
        <w:rPr>
          <w:highlight w:val="yellow"/>
        </w:rPr>
        <w:instrText xml:space="preserve"> FORMTEXT </w:instrText>
      </w:r>
      <w:r w:rsidR="00FA247A" w:rsidRPr="009B76EA">
        <w:rPr>
          <w:highlight w:val="yellow"/>
        </w:rPr>
      </w:r>
      <w:r w:rsidR="00FA247A" w:rsidRPr="009B76EA">
        <w:rPr>
          <w:highlight w:val="yellow"/>
        </w:rPr>
        <w:fldChar w:fldCharType="separate"/>
      </w:r>
      <w:r w:rsidR="00FA247A" w:rsidRPr="009B76EA">
        <w:rPr>
          <w:highlight w:val="yellow"/>
        </w:rPr>
        <w:t>&lt;&lt;Shire/ Town / City of XXX&gt;&gt;</w:t>
      </w:r>
      <w:r w:rsidR="00FA247A" w:rsidRPr="009B76EA">
        <w:rPr>
          <w:highlight w:val="yellow"/>
        </w:rPr>
        <w:fldChar w:fldCharType="end"/>
      </w:r>
      <w:r w:rsidR="00FA247A">
        <w:t xml:space="preserve"> </w:t>
      </w:r>
      <w:r>
        <w:t xml:space="preserve">of any change in circumstance that jeopardises the agreed payment </w:t>
      </w:r>
      <w:r w:rsidR="00A75E74">
        <w:t>plan</w:t>
      </w:r>
      <w:r>
        <w:t>.</w:t>
      </w:r>
      <w:r w:rsidR="00B000B5">
        <w:t xml:space="preserve"> </w:t>
      </w:r>
    </w:p>
    <w:p w14:paraId="4CE45BD5" w14:textId="77777777" w:rsidR="0075350C" w:rsidRDefault="0075350C" w:rsidP="0001175D">
      <w:pPr>
        <w:pStyle w:val="Heading1"/>
      </w:pPr>
      <w:r>
        <w:t>Interest Charges</w:t>
      </w:r>
    </w:p>
    <w:p w14:paraId="50E099C1" w14:textId="43653336" w:rsidR="00FE67A8" w:rsidRPr="00304AF0" w:rsidRDefault="00FE67A8" w:rsidP="00FE67A8">
      <w:pPr>
        <w:pStyle w:val="Default"/>
        <w:spacing w:before="220" w:after="220"/>
        <w:jc w:val="both"/>
        <w:rPr>
          <w:sz w:val="22"/>
          <w:szCs w:val="22"/>
        </w:rPr>
      </w:pPr>
      <w:r w:rsidRPr="00304AF0">
        <w:rPr>
          <w:sz w:val="22"/>
          <w:szCs w:val="22"/>
        </w:rPr>
        <w:t>In the case of severe financial hardship,</w:t>
      </w:r>
      <w:r>
        <w:rPr>
          <w:sz w:val="22"/>
          <w:szCs w:val="22"/>
        </w:rPr>
        <w:t xml:space="preserve"> </w:t>
      </w:r>
      <w:r w:rsidR="00C64107">
        <w:rPr>
          <w:sz w:val="22"/>
          <w:szCs w:val="22"/>
        </w:rPr>
        <w:t xml:space="preserve">the </w:t>
      </w:r>
      <w:r w:rsidR="00C64107" w:rsidRPr="004D6194">
        <w:rPr>
          <w:sz w:val="22"/>
          <w:szCs w:val="22"/>
          <w:highlight w:val="yellow"/>
        </w:rPr>
        <w:t>&lt;&lt;Shire / Town / City&gt;&gt;</w:t>
      </w:r>
      <w:r w:rsidR="00C64107">
        <w:rPr>
          <w:sz w:val="22"/>
          <w:szCs w:val="22"/>
        </w:rPr>
        <w:t xml:space="preserve"> may </w:t>
      </w:r>
      <w:r>
        <w:rPr>
          <w:sz w:val="22"/>
          <w:szCs w:val="22"/>
        </w:rPr>
        <w:t xml:space="preserve">consider </w:t>
      </w:r>
      <w:r w:rsidR="00C64107">
        <w:rPr>
          <w:sz w:val="22"/>
          <w:szCs w:val="22"/>
        </w:rPr>
        <w:t>writing off</w:t>
      </w:r>
      <w:r>
        <w:rPr>
          <w:sz w:val="22"/>
          <w:szCs w:val="22"/>
        </w:rPr>
        <w:t xml:space="preserve"> </w:t>
      </w:r>
      <w:r w:rsidRPr="00304AF0">
        <w:rPr>
          <w:sz w:val="22"/>
          <w:szCs w:val="22"/>
        </w:rPr>
        <w:t xml:space="preserve">interest </w:t>
      </w:r>
      <w:r w:rsidR="00C64107">
        <w:rPr>
          <w:sz w:val="22"/>
          <w:szCs w:val="22"/>
        </w:rPr>
        <w:t>accrued on rates and service charge debts</w:t>
      </w:r>
      <w:r w:rsidRPr="00304AF0">
        <w:rPr>
          <w:sz w:val="22"/>
          <w:szCs w:val="22"/>
        </w:rPr>
        <w:t xml:space="preserve">. </w:t>
      </w:r>
    </w:p>
    <w:p w14:paraId="53775CC0" w14:textId="06358CB2" w:rsidR="00235DDF" w:rsidRDefault="008E1134" w:rsidP="0001175D">
      <w:pPr>
        <w:pStyle w:val="Heading1"/>
      </w:pPr>
      <w:r>
        <w:lastRenderedPageBreak/>
        <w:t>Pension / Concession / Seniors Cardholders</w:t>
      </w:r>
      <w:r w:rsidR="00235DDF">
        <w:t xml:space="preserve"> </w:t>
      </w:r>
    </w:p>
    <w:p w14:paraId="764664B3" w14:textId="619DF475" w:rsidR="00D72B24" w:rsidRDefault="003C1248" w:rsidP="0075350C">
      <w:pPr>
        <w:pStyle w:val="NormalWeb"/>
        <w:spacing w:before="0" w:beforeAutospacing="0" w:after="150" w:afterAutospacing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Persons who hold a Pension Card, State Concession Card, Seniors Card</w:t>
      </w:r>
      <w:r w:rsidR="00F665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or Commonwealth Seniors Health Care Card</w:t>
      </w:r>
      <w:r w:rsidR="003C3AD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may be eligible to claim a Rate</w:t>
      </w:r>
      <w:r w:rsidR="003B31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Rebate, </w:t>
      </w:r>
      <w:r w:rsidR="003A199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Emergency Services Levy</w:t>
      </w:r>
      <w:r w:rsidR="003C3AD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Rebate or Deferment of Rates</w:t>
      </w:r>
      <w:r w:rsidR="00D72B2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25438C54" w14:textId="2B3EA422" w:rsidR="00065C54" w:rsidRPr="00A15C27" w:rsidRDefault="00065C54" w:rsidP="00065C5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Ratepayers</w:t>
      </w:r>
      <w:r>
        <w:rPr>
          <w:color w:val="000000"/>
        </w:rPr>
        <w:t xml:space="preserve"> who hold a Pension Card, State Concession Card, Seniors Card, or Commonwealth Seniors Health Care Card and who are experiencing financial hardship may also apply for consideration under this policy.</w:t>
      </w:r>
    </w:p>
    <w:p w14:paraId="252E1136" w14:textId="494F8AED" w:rsidR="007266E9" w:rsidRPr="00B85DBF" w:rsidRDefault="007266E9" w:rsidP="0075350C">
      <w:pPr>
        <w:pStyle w:val="NormalWeb"/>
        <w:spacing w:before="0" w:beforeAutospacing="0" w:after="150" w:afterAutospacing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85DB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Deferment of rates may apply for </w:t>
      </w:r>
      <w:r w:rsidR="00065C5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</w:t>
      </w:r>
      <w:r w:rsidR="00235DDF" w:rsidRPr="00B85DB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atepayers</w:t>
      </w:r>
      <w:r w:rsidR="00FA24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235DDF" w:rsidRPr="00B85DB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who have a Pensioner Card, State Concession Card or Seniors Card and Commonwealth Seniors Health Care Card registered on their property</w:t>
      </w:r>
      <w:r w:rsidRPr="00B85DB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FA247A" w:rsidRPr="00B85DB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The</w:t>
      </w:r>
      <w:r w:rsidR="00FA24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B85DB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deferred rates balance:</w:t>
      </w:r>
    </w:p>
    <w:p w14:paraId="735707D3" w14:textId="77777777" w:rsidR="007266E9" w:rsidRPr="007266E9" w:rsidRDefault="007266E9" w:rsidP="0075350C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7266E9">
        <w:rPr>
          <w:color w:val="000000"/>
        </w:rPr>
        <w:t>remains as a debt on the property until paid;</w:t>
      </w:r>
    </w:p>
    <w:p w14:paraId="6CD4273B" w14:textId="77777777" w:rsidR="007266E9" w:rsidRPr="007266E9" w:rsidRDefault="007266E9" w:rsidP="0075350C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7266E9">
        <w:rPr>
          <w:color w:val="000000"/>
        </w:rPr>
        <w:t>becomes payable in full upon the passing of the pensioner or if the property is sold or if the pensioner c</w:t>
      </w:r>
      <w:r w:rsidR="0001175D">
        <w:rPr>
          <w:color w:val="000000"/>
        </w:rPr>
        <w:t>eases to reside in the property;</w:t>
      </w:r>
    </w:p>
    <w:p w14:paraId="21F1ECC2" w14:textId="77777777" w:rsidR="007266E9" w:rsidRPr="007266E9" w:rsidRDefault="007266E9" w:rsidP="0075350C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7266E9">
        <w:rPr>
          <w:color w:val="000000"/>
        </w:rPr>
        <w:t xml:space="preserve">may be paid at any time, BUT </w:t>
      </w:r>
      <w:r w:rsidR="00FA247A">
        <w:rPr>
          <w:color w:val="000000"/>
        </w:rPr>
        <w:t>the</w:t>
      </w:r>
      <w:r w:rsidRPr="007266E9">
        <w:rPr>
          <w:color w:val="000000"/>
        </w:rPr>
        <w:t xml:space="preserve"> concession </w:t>
      </w:r>
      <w:r w:rsidR="00FA247A">
        <w:rPr>
          <w:color w:val="000000"/>
        </w:rPr>
        <w:t xml:space="preserve">will not apply </w:t>
      </w:r>
      <w:r w:rsidRPr="007266E9">
        <w:rPr>
          <w:color w:val="000000"/>
        </w:rPr>
        <w:t xml:space="preserve">when </w:t>
      </w:r>
      <w:r w:rsidR="00FA247A">
        <w:rPr>
          <w:color w:val="000000"/>
        </w:rPr>
        <w:t>the rates debt is</w:t>
      </w:r>
      <w:r w:rsidR="005F6442">
        <w:rPr>
          <w:color w:val="000000"/>
        </w:rPr>
        <w:t xml:space="preserve"> subsequently</w:t>
      </w:r>
      <w:r w:rsidRPr="007266E9">
        <w:rPr>
          <w:color w:val="000000"/>
        </w:rPr>
        <w:t xml:space="preserve"> paid (</w:t>
      </w:r>
      <w:r w:rsidR="005F6442">
        <w:rPr>
          <w:color w:val="000000"/>
        </w:rPr>
        <w:t>deferral forfeits the right to</w:t>
      </w:r>
      <w:r w:rsidRPr="007266E9">
        <w:rPr>
          <w:color w:val="000000"/>
        </w:rPr>
        <w:t xml:space="preserve"> any concession </w:t>
      </w:r>
      <w:r w:rsidR="005F6442">
        <w:rPr>
          <w:color w:val="000000"/>
        </w:rPr>
        <w:t>entitlement</w:t>
      </w:r>
      <w:r w:rsidRPr="007266E9">
        <w:rPr>
          <w:color w:val="000000"/>
        </w:rPr>
        <w:t>)</w:t>
      </w:r>
      <w:r w:rsidR="0001175D">
        <w:rPr>
          <w:color w:val="000000"/>
        </w:rPr>
        <w:t>; and</w:t>
      </w:r>
    </w:p>
    <w:p w14:paraId="70A81AD6" w14:textId="2CF0EF72" w:rsidR="002C7116" w:rsidRDefault="007266E9" w:rsidP="002C711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7266E9">
        <w:rPr>
          <w:color w:val="000000"/>
        </w:rPr>
        <w:t>does not incur penalty interest charges.</w:t>
      </w:r>
    </w:p>
    <w:p w14:paraId="071A0DA8" w14:textId="7DB47D29" w:rsidR="00820B7A" w:rsidRDefault="00A15C27" w:rsidP="0001175D">
      <w:pPr>
        <w:pStyle w:val="Heading1"/>
      </w:pPr>
      <w:r>
        <w:t xml:space="preserve">Rates and Service Charge </w:t>
      </w:r>
      <w:r w:rsidR="00820B7A">
        <w:t>Debt recovery</w:t>
      </w:r>
    </w:p>
    <w:p w14:paraId="30A8539B" w14:textId="77777777" w:rsidR="009F6567" w:rsidRDefault="0075350C" w:rsidP="007C1B38">
      <w:pPr>
        <w:jc w:val="both"/>
      </w:pPr>
      <w:r>
        <w:t xml:space="preserve">We will </w:t>
      </w:r>
      <w:r w:rsidR="00820B7A" w:rsidRPr="00304AF0">
        <w:t xml:space="preserve">suspend our debt recovery processes whilst negotiating a suitable </w:t>
      </w:r>
      <w:r w:rsidR="001B7179">
        <w:t>r</w:t>
      </w:r>
      <w:r w:rsidR="00A15C27">
        <w:t xml:space="preserve">ates and </w:t>
      </w:r>
      <w:r w:rsidR="001B7179">
        <w:t>s</w:t>
      </w:r>
      <w:r w:rsidR="00A15C27">
        <w:t xml:space="preserve">ervice </w:t>
      </w:r>
      <w:r w:rsidR="001B7179">
        <w:t>c</w:t>
      </w:r>
      <w:r w:rsidR="00A15C27">
        <w:t xml:space="preserve">harge </w:t>
      </w:r>
      <w:r w:rsidR="00820B7A" w:rsidRPr="00304AF0">
        <w:t xml:space="preserve">payment arrangement with </w:t>
      </w:r>
      <w:r w:rsidR="001B7179">
        <w:t>the Ratepayer</w:t>
      </w:r>
      <w:r w:rsidR="00820B7A" w:rsidRPr="00304AF0">
        <w:t>.</w:t>
      </w:r>
      <w:r w:rsidR="00B10B61">
        <w:t xml:space="preserve"> </w:t>
      </w:r>
    </w:p>
    <w:p w14:paraId="35ECB121" w14:textId="77777777" w:rsidR="009F6567" w:rsidRDefault="009F6567" w:rsidP="007C1B38">
      <w:pPr>
        <w:jc w:val="both"/>
      </w:pPr>
    </w:p>
    <w:p w14:paraId="0D8A8F78" w14:textId="1E92F3E9" w:rsidR="00A56D7E" w:rsidRPr="00304AF0" w:rsidRDefault="00B1324C" w:rsidP="007C1B38">
      <w:pPr>
        <w:jc w:val="both"/>
      </w:pPr>
      <w:r w:rsidRPr="00304AF0">
        <w:t xml:space="preserve">Where a </w:t>
      </w:r>
      <w:r w:rsidR="001B7179">
        <w:t>Ratepayer</w:t>
      </w:r>
      <w:r w:rsidRPr="00304AF0">
        <w:t xml:space="preserve"> is unable to make payments in accordance with the agreed payment </w:t>
      </w:r>
      <w:r w:rsidR="0045237A">
        <w:t>arrangement</w:t>
      </w:r>
      <w:r w:rsidRPr="00304AF0">
        <w:t xml:space="preserve"> and the </w:t>
      </w:r>
      <w:r w:rsidR="001B7179">
        <w:t>Ratepayer</w:t>
      </w:r>
      <w:r w:rsidRPr="00304AF0">
        <w:t xml:space="preserve"> advises </w:t>
      </w:r>
      <w:r w:rsidR="001B7179" w:rsidRPr="004D6194">
        <w:rPr>
          <w:highlight w:val="yellow"/>
        </w:rPr>
        <w:t>&lt;&lt;Shire / Town / City&gt;&gt;</w:t>
      </w:r>
      <w:r w:rsidR="001B7179">
        <w:t xml:space="preserve"> </w:t>
      </w:r>
      <w:r w:rsidR="0075350C">
        <w:t>and m</w:t>
      </w:r>
      <w:r w:rsidRPr="00304AF0">
        <w:t xml:space="preserve">akes an alternative </w:t>
      </w:r>
      <w:r w:rsidR="0045237A">
        <w:t>arrangement</w:t>
      </w:r>
      <w:r w:rsidRPr="00304AF0">
        <w:t xml:space="preserve"> before defaulting on the 3</w:t>
      </w:r>
      <w:r w:rsidRPr="00304AF0">
        <w:rPr>
          <w:vertAlign w:val="superscript"/>
        </w:rPr>
        <w:t>rd</w:t>
      </w:r>
      <w:r w:rsidRPr="00304AF0">
        <w:t xml:space="preserve"> due payment</w:t>
      </w:r>
      <w:r w:rsidR="00A56D7E" w:rsidRPr="00304AF0">
        <w:t xml:space="preserve">, then </w:t>
      </w:r>
      <w:r w:rsidR="0075350C">
        <w:t xml:space="preserve">we </w:t>
      </w:r>
      <w:r w:rsidR="00A56D7E" w:rsidRPr="00304AF0">
        <w:t>will continue to suspend debt recovery processes.</w:t>
      </w:r>
    </w:p>
    <w:p w14:paraId="17AEB33B" w14:textId="77777777" w:rsidR="00A56D7E" w:rsidRPr="00304AF0" w:rsidRDefault="00A56D7E" w:rsidP="007C1B38">
      <w:pPr>
        <w:jc w:val="both"/>
      </w:pPr>
    </w:p>
    <w:p w14:paraId="241EA099" w14:textId="42B3E4EA" w:rsidR="0075350C" w:rsidRDefault="00A56D7E" w:rsidP="007C1B38">
      <w:pPr>
        <w:jc w:val="both"/>
      </w:pPr>
      <w:r w:rsidRPr="00304AF0">
        <w:t xml:space="preserve">Where a </w:t>
      </w:r>
      <w:r w:rsidR="001B7179">
        <w:t>R</w:t>
      </w:r>
      <w:r w:rsidRPr="00304AF0">
        <w:t>atepayer has not reasonably adher</w:t>
      </w:r>
      <w:r w:rsidR="00FE3E48" w:rsidRPr="00304AF0">
        <w:t>ed</w:t>
      </w:r>
      <w:r w:rsidRPr="00304AF0">
        <w:t xml:space="preserve"> to the agreed payment plan, then for any Rates and Service Charge debts that remain outstanding on 1 July </w:t>
      </w:r>
      <w:r w:rsidR="00E17E42">
        <w:t>of the current financial year</w:t>
      </w:r>
      <w:r w:rsidRPr="00304AF0">
        <w:t xml:space="preserve">, </w:t>
      </w:r>
      <w:r w:rsidR="0075350C">
        <w:t xml:space="preserve">we </w:t>
      </w:r>
      <w:r w:rsidRPr="00304AF0">
        <w:t xml:space="preserve">will offer the ratepayer one further opportunity of adhering to a payment plan that will clear the total debt by the end of the </w:t>
      </w:r>
      <w:r w:rsidR="00395778">
        <w:t>next</w:t>
      </w:r>
      <w:r w:rsidR="0075350C">
        <w:t xml:space="preserve"> financial year. </w:t>
      </w:r>
    </w:p>
    <w:p w14:paraId="4603CFF8" w14:textId="36F72AB1" w:rsidR="00A56D7E" w:rsidRPr="00304AF0" w:rsidRDefault="00A56D7E" w:rsidP="007C1B38">
      <w:pPr>
        <w:jc w:val="both"/>
      </w:pPr>
    </w:p>
    <w:p w14:paraId="1B4E3463" w14:textId="79441572" w:rsidR="00A56D7E" w:rsidRPr="00304AF0" w:rsidRDefault="00A56D7E" w:rsidP="007C1B38">
      <w:pPr>
        <w:jc w:val="both"/>
      </w:pPr>
      <w:r w:rsidRPr="00304AF0">
        <w:t>Rates and service charge debt</w:t>
      </w:r>
      <w:r w:rsidR="00FE3E48" w:rsidRPr="00304AF0">
        <w:t>s</w:t>
      </w:r>
      <w:r w:rsidRPr="00304AF0">
        <w:t xml:space="preserve"> that remain outstanding at the end of </w:t>
      </w:r>
      <w:r w:rsidR="00395778">
        <w:t>that next</w:t>
      </w:r>
      <w:r w:rsidRPr="00304AF0">
        <w:t xml:space="preserve"> financial year, will</w:t>
      </w:r>
      <w:r w:rsidR="00FE3E48" w:rsidRPr="00304AF0">
        <w:t xml:space="preserve"> then</w:t>
      </w:r>
      <w:r w:rsidRPr="00304AF0">
        <w:t xml:space="preserve"> be subject to the rates debt recovery procedures prescribed in the </w:t>
      </w:r>
      <w:r w:rsidRPr="00304AF0">
        <w:rPr>
          <w:i/>
        </w:rPr>
        <w:t>Local Government Act 1995.</w:t>
      </w:r>
    </w:p>
    <w:p w14:paraId="223C84E5" w14:textId="77777777" w:rsidR="00A537D8" w:rsidRDefault="00A537D8" w:rsidP="0001175D">
      <w:pPr>
        <w:pStyle w:val="Heading1"/>
      </w:pPr>
      <w:r>
        <w:t>Review</w:t>
      </w:r>
    </w:p>
    <w:p w14:paraId="06C3113F" w14:textId="77777777" w:rsidR="0031021F" w:rsidRDefault="0075350C" w:rsidP="007C1B38">
      <w:pPr>
        <w:jc w:val="both"/>
      </w:pPr>
      <w:r>
        <w:t xml:space="preserve">We </w:t>
      </w:r>
      <w:r w:rsidR="00A537D8">
        <w:rPr>
          <w:szCs w:val="18"/>
        </w:rPr>
        <w:t>will establish a mechanism for review of decisions made under this policy, and advise the applicant of their right to seek review and the procedure to be followed.</w:t>
      </w:r>
    </w:p>
    <w:p w14:paraId="04795F61" w14:textId="77777777" w:rsidR="00B25B0F" w:rsidRDefault="00B25B0F" w:rsidP="0001175D">
      <w:pPr>
        <w:pStyle w:val="Heading1"/>
      </w:pPr>
      <w:r>
        <w:t>Communication</w:t>
      </w:r>
      <w:r w:rsidR="00323DCA">
        <w:t xml:space="preserve"> and Confidentiality</w:t>
      </w:r>
    </w:p>
    <w:p w14:paraId="3F4CB646" w14:textId="51D21550" w:rsidR="00323DCA" w:rsidRDefault="0024162E" w:rsidP="007C1B38">
      <w:pPr>
        <w:jc w:val="both"/>
      </w:pPr>
      <w:r w:rsidRPr="0024162E">
        <w:t xml:space="preserve">The </w:t>
      </w:r>
      <w:r w:rsidRPr="004D6194">
        <w:rPr>
          <w:highlight w:val="yellow"/>
        </w:rPr>
        <w:t>&lt;&lt;Shire / Town / City&gt;&gt;</w:t>
      </w:r>
      <w:r>
        <w:t xml:space="preserve"> </w:t>
      </w:r>
      <w:r w:rsidR="00323DCA">
        <w:rPr>
          <w:szCs w:val="18"/>
        </w:rPr>
        <w:t xml:space="preserve">will </w:t>
      </w:r>
      <w:r w:rsidR="00BB7719">
        <w:rPr>
          <w:szCs w:val="18"/>
        </w:rPr>
        <w:t>always maintain confidentiality</w:t>
      </w:r>
      <w:r w:rsidR="00323DCA">
        <w:rPr>
          <w:szCs w:val="18"/>
        </w:rPr>
        <w:t xml:space="preserve"> </w:t>
      </w:r>
      <w:r w:rsidR="00AC566E">
        <w:rPr>
          <w:szCs w:val="18"/>
        </w:rPr>
        <w:t xml:space="preserve">about any financial hardship matter </w:t>
      </w:r>
      <w:r w:rsidR="00323DCA">
        <w:rPr>
          <w:szCs w:val="18"/>
        </w:rPr>
        <w:t>and we undertake to communicate with a nominated support person or other third party at your request.</w:t>
      </w:r>
      <w:r w:rsidR="00323DCA">
        <w:t xml:space="preserve"> </w:t>
      </w:r>
    </w:p>
    <w:p w14:paraId="7CF97172" w14:textId="77777777" w:rsidR="00323DCA" w:rsidRDefault="00323DCA" w:rsidP="007C1B38">
      <w:pPr>
        <w:jc w:val="both"/>
      </w:pPr>
    </w:p>
    <w:p w14:paraId="08821056" w14:textId="67E71CB0" w:rsidR="00ED793E" w:rsidRDefault="00323DCA" w:rsidP="007C1B38">
      <w:pPr>
        <w:jc w:val="both"/>
      </w:pPr>
      <w:r>
        <w:t xml:space="preserve">We </w:t>
      </w:r>
      <w:r w:rsidR="00A56D7E">
        <w:rPr>
          <w:szCs w:val="18"/>
        </w:rPr>
        <w:t xml:space="preserve">will advise </w:t>
      </w:r>
      <w:r w:rsidR="007F2782">
        <w:rPr>
          <w:szCs w:val="18"/>
        </w:rPr>
        <w:t>R</w:t>
      </w:r>
      <w:r w:rsidR="00A56D7E">
        <w:rPr>
          <w:szCs w:val="18"/>
        </w:rPr>
        <w:t xml:space="preserve">atepayers of this policy and its application, when communicating in any format (i.e. verbal or written) with a </w:t>
      </w:r>
      <w:r w:rsidR="007F2782">
        <w:rPr>
          <w:szCs w:val="18"/>
        </w:rPr>
        <w:t>R</w:t>
      </w:r>
      <w:r w:rsidR="00A56D7E">
        <w:rPr>
          <w:szCs w:val="18"/>
        </w:rPr>
        <w:t xml:space="preserve">atepayer that has an outstanding rates or service charge debt. </w:t>
      </w:r>
    </w:p>
    <w:p w14:paraId="00B978B4" w14:textId="77777777" w:rsidR="00A56D7E" w:rsidRDefault="00A56D7E" w:rsidP="007C1B38">
      <w:pPr>
        <w:jc w:val="both"/>
      </w:pPr>
    </w:p>
    <w:p w14:paraId="6658537A" w14:textId="2DF9B1A0" w:rsidR="007214C8" w:rsidRDefault="00323DCA" w:rsidP="007C1B38">
      <w:pPr>
        <w:jc w:val="both"/>
      </w:pPr>
      <w:r>
        <w:lastRenderedPageBreak/>
        <w:t xml:space="preserve">We </w:t>
      </w:r>
      <w:r w:rsidR="000D57F2">
        <w:rPr>
          <w:szCs w:val="18"/>
        </w:rPr>
        <w:t>r</w:t>
      </w:r>
      <w:r w:rsidR="000D57F2">
        <w:t xml:space="preserve">ecognise that applicants for </w:t>
      </w:r>
      <w:r w:rsidR="007F2782">
        <w:t xml:space="preserve">financial </w:t>
      </w:r>
      <w:r w:rsidR="000D57F2">
        <w:t>hardship consideration are experiencing additional stressors and may have complex needs</w:t>
      </w:r>
      <w:r>
        <w:t xml:space="preserve">. We </w:t>
      </w:r>
      <w:r w:rsidR="000D57F2">
        <w:t>will provide additional time to respond to communication</w:t>
      </w:r>
      <w:r w:rsidR="00BB7719">
        <w:t>s</w:t>
      </w:r>
      <w:r w:rsidR="000D57F2">
        <w:t xml:space="preserve"> and will communicate in alternative formats where appropriate. </w:t>
      </w:r>
      <w:r>
        <w:t xml:space="preserve">We </w:t>
      </w:r>
      <w:r w:rsidR="00ED793E">
        <w:rPr>
          <w:szCs w:val="18"/>
        </w:rPr>
        <w:t xml:space="preserve">will </w:t>
      </w:r>
      <w:r w:rsidR="00ED793E">
        <w:t>ensure</w:t>
      </w:r>
      <w:r w:rsidR="000D57F2">
        <w:t xml:space="preserve"> all communication with applicants is clear and respectful. </w:t>
      </w:r>
    </w:p>
    <w:p w14:paraId="6587511A" w14:textId="77777777" w:rsidR="007214C8" w:rsidRDefault="007214C8" w:rsidP="007C1B38">
      <w:pPr>
        <w:jc w:val="both"/>
      </w:pPr>
    </w:p>
    <w:p w14:paraId="133F3953" w14:textId="77777777" w:rsidR="007214C8" w:rsidRDefault="007214C8" w:rsidP="007C1B38">
      <w:pPr>
        <w:jc w:val="both"/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44"/>
        <w:gridCol w:w="1329"/>
        <w:gridCol w:w="867"/>
        <w:gridCol w:w="330"/>
        <w:gridCol w:w="570"/>
        <w:gridCol w:w="1140"/>
        <w:gridCol w:w="741"/>
        <w:gridCol w:w="228"/>
        <w:gridCol w:w="741"/>
        <w:gridCol w:w="1026"/>
        <w:gridCol w:w="1109"/>
      </w:tblGrid>
      <w:tr w:rsidR="000452F1" w:rsidRPr="00775BA0" w14:paraId="0173302B" w14:textId="77777777" w:rsidTr="006F2CAD">
        <w:trPr>
          <w:trHeight w:val="325"/>
        </w:trPr>
        <w:tc>
          <w:tcPr>
            <w:tcW w:w="9659" w:type="dxa"/>
            <w:gridSpan w:val="1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7B86E7AF" w14:textId="77777777" w:rsidR="000452F1" w:rsidRPr="00780A33" w:rsidRDefault="000452F1" w:rsidP="007C1B38">
            <w:pPr>
              <w:suppressAutoHyphens/>
              <w:jc w:val="both"/>
              <w:rPr>
                <w:b/>
                <w:color w:val="1F3864" w:themeColor="accent5" w:themeShade="80"/>
                <w:lang w:val="en-US" w:bidi="he-IL"/>
              </w:rPr>
            </w:pPr>
            <w:r w:rsidRPr="00780A33">
              <w:rPr>
                <w:b/>
                <w:color w:val="1F3864" w:themeColor="accent5" w:themeShade="80"/>
                <w:lang w:val="en-US" w:bidi="he-IL"/>
              </w:rPr>
              <w:t>Document Control Box</w:t>
            </w:r>
          </w:p>
        </w:tc>
      </w:tr>
      <w:tr w:rsidR="000452F1" w:rsidRPr="00775BA0" w14:paraId="48AE175F" w14:textId="77777777" w:rsidTr="006F2CAD">
        <w:trPr>
          <w:trHeight w:val="260"/>
        </w:trPr>
        <w:tc>
          <w:tcPr>
            <w:tcW w:w="9659" w:type="dxa"/>
            <w:gridSpan w:val="12"/>
            <w:tcBorders>
              <w:top w:val="single" w:sz="12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B0BA462" w14:textId="77777777" w:rsidR="000452F1" w:rsidRPr="00775BA0" w:rsidRDefault="000452F1" w:rsidP="007C1B38">
            <w:pPr>
              <w:jc w:val="both"/>
              <w:rPr>
                <w:b/>
                <w:sz w:val="20"/>
              </w:rPr>
            </w:pPr>
            <w:r w:rsidRPr="00775BA0">
              <w:rPr>
                <w:b/>
                <w:sz w:val="20"/>
              </w:rPr>
              <w:t>Document Responsibilities:</w:t>
            </w:r>
          </w:p>
        </w:tc>
      </w:tr>
      <w:tr w:rsidR="000452F1" w:rsidRPr="00775BA0" w14:paraId="45BFBEA7" w14:textId="77777777" w:rsidTr="00780A33">
        <w:tc>
          <w:tcPr>
            <w:tcW w:w="113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59C37FA9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Owner:</w:t>
            </w:r>
          </w:p>
        </w:tc>
        <w:tc>
          <w:tcPr>
            <w:tcW w:w="3540" w:type="dxa"/>
            <w:gridSpan w:val="5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0562AB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insert Position Title]"/>
                  </w:textInput>
                </w:ffData>
              </w:fldChar>
            </w:r>
            <w:r w:rsidRPr="00775BA0">
              <w:rPr>
                <w:sz w:val="18"/>
                <w:szCs w:val="18"/>
              </w:rPr>
              <w:instrText xml:space="preserve"> FORMTEXT </w:instrText>
            </w:r>
            <w:r w:rsidRPr="00775BA0">
              <w:rPr>
                <w:sz w:val="18"/>
                <w:szCs w:val="18"/>
              </w:rPr>
            </w:r>
            <w:r w:rsidRPr="00775BA0">
              <w:rPr>
                <w:sz w:val="18"/>
                <w:szCs w:val="18"/>
              </w:rPr>
              <w:fldChar w:fldCharType="separate"/>
            </w:r>
            <w:r w:rsidRPr="00775BA0">
              <w:rPr>
                <w:noProof/>
                <w:sz w:val="18"/>
                <w:szCs w:val="18"/>
              </w:rPr>
              <w:t>[insert Position Title]</w:t>
            </w:r>
            <w:r w:rsidRPr="00775B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09" w:type="dxa"/>
            <w:gridSpan w:val="3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35A6FFA8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Owner Business Unit:</w:t>
            </w:r>
          </w:p>
        </w:tc>
        <w:tc>
          <w:tcPr>
            <w:tcW w:w="2876" w:type="dxa"/>
            <w:gridSpan w:val="3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AA9916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insert Unit Title]"/>
                  </w:textInput>
                </w:ffData>
              </w:fldChar>
            </w:r>
            <w:r w:rsidRPr="00775BA0">
              <w:rPr>
                <w:sz w:val="18"/>
                <w:szCs w:val="18"/>
              </w:rPr>
              <w:instrText xml:space="preserve"> FORMTEXT </w:instrText>
            </w:r>
            <w:r w:rsidRPr="00775BA0">
              <w:rPr>
                <w:sz w:val="18"/>
                <w:szCs w:val="18"/>
              </w:rPr>
            </w:r>
            <w:r w:rsidRPr="00775BA0">
              <w:rPr>
                <w:sz w:val="18"/>
                <w:szCs w:val="18"/>
              </w:rPr>
              <w:fldChar w:fldCharType="separate"/>
            </w:r>
            <w:r w:rsidRPr="00775BA0">
              <w:rPr>
                <w:noProof/>
                <w:sz w:val="18"/>
                <w:szCs w:val="18"/>
              </w:rPr>
              <w:t>[insert Unit Title]</w:t>
            </w:r>
            <w:r w:rsidRPr="00775BA0">
              <w:rPr>
                <w:sz w:val="18"/>
                <w:szCs w:val="18"/>
              </w:rPr>
              <w:fldChar w:fldCharType="end"/>
            </w:r>
          </w:p>
        </w:tc>
      </w:tr>
      <w:tr w:rsidR="000452F1" w:rsidRPr="00775BA0" w14:paraId="3B35AC6D" w14:textId="77777777" w:rsidTr="00780A33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shd w:val="clear" w:color="auto" w:fill="D9D9D9"/>
            <w:vAlign w:val="center"/>
          </w:tcPr>
          <w:p w14:paraId="6801E874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Reviewer:</w:t>
            </w:r>
          </w:p>
        </w:tc>
        <w:tc>
          <w:tcPr>
            <w:tcW w:w="3540" w:type="dxa"/>
            <w:gridSpan w:val="5"/>
            <w:tcBorders>
              <w:top w:val="single" w:sz="4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2C3F978A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insert Position Title]"/>
                  </w:textInput>
                </w:ffData>
              </w:fldChar>
            </w:r>
            <w:r w:rsidRPr="00775BA0">
              <w:rPr>
                <w:sz w:val="18"/>
                <w:szCs w:val="18"/>
              </w:rPr>
              <w:instrText xml:space="preserve"> FORMTEXT </w:instrText>
            </w:r>
            <w:r w:rsidRPr="00775BA0">
              <w:rPr>
                <w:sz w:val="18"/>
                <w:szCs w:val="18"/>
              </w:rPr>
            </w:r>
            <w:r w:rsidRPr="00775BA0">
              <w:rPr>
                <w:sz w:val="18"/>
                <w:szCs w:val="18"/>
              </w:rPr>
              <w:fldChar w:fldCharType="separate"/>
            </w:r>
            <w:r w:rsidRPr="00775BA0">
              <w:rPr>
                <w:noProof/>
                <w:sz w:val="18"/>
                <w:szCs w:val="18"/>
              </w:rPr>
              <w:t>[insert Position Title]</w:t>
            </w:r>
            <w:r w:rsidRPr="00775B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09" w:type="dxa"/>
            <w:gridSpan w:val="3"/>
            <w:tcBorders>
              <w:top w:val="single" w:sz="4" w:space="0" w:color="808080"/>
              <w:bottom w:val="single" w:sz="8" w:space="0" w:color="808080"/>
            </w:tcBorders>
            <w:shd w:val="clear" w:color="auto" w:fill="D9D9D9"/>
            <w:vAlign w:val="center"/>
          </w:tcPr>
          <w:p w14:paraId="1EA5441B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Decision Maker:</w:t>
            </w:r>
          </w:p>
        </w:tc>
        <w:tc>
          <w:tcPr>
            <w:tcW w:w="2876" w:type="dxa"/>
            <w:gridSpan w:val="3"/>
            <w:tcBorders>
              <w:top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327169" w14:textId="77777777" w:rsidR="000452F1" w:rsidRPr="00775BA0" w:rsidRDefault="00780A33" w:rsidP="007C1B3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Council</w:t>
            </w:r>
          </w:p>
        </w:tc>
      </w:tr>
      <w:tr w:rsidR="000452F1" w:rsidRPr="00775BA0" w14:paraId="38F1AEF5" w14:textId="77777777" w:rsidTr="006F2CAD">
        <w:trPr>
          <w:trHeight w:val="150"/>
        </w:trPr>
        <w:tc>
          <w:tcPr>
            <w:tcW w:w="9659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15249EED" w14:textId="77777777" w:rsidR="000452F1" w:rsidRPr="00775BA0" w:rsidRDefault="000452F1" w:rsidP="007C1B38">
            <w:pPr>
              <w:jc w:val="both"/>
              <w:rPr>
                <w:b/>
                <w:sz w:val="20"/>
              </w:rPr>
            </w:pPr>
            <w:r w:rsidRPr="00775BA0">
              <w:rPr>
                <w:b/>
                <w:sz w:val="20"/>
              </w:rPr>
              <w:t>Compliance Requirements:</w:t>
            </w:r>
          </w:p>
        </w:tc>
      </w:tr>
      <w:tr w:rsidR="000452F1" w:rsidRPr="00775BA0" w14:paraId="0E596C78" w14:textId="77777777" w:rsidTr="006931BD">
        <w:tc>
          <w:tcPr>
            <w:tcW w:w="157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2AD1C412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Legislation:</w:t>
            </w:r>
          </w:p>
        </w:tc>
        <w:tc>
          <w:tcPr>
            <w:tcW w:w="8081" w:type="dxa"/>
            <w:gridSpan w:val="10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5BC2ED" w14:textId="77777777" w:rsidR="006C4A03" w:rsidRDefault="00000000" w:rsidP="007C1B38">
            <w:pPr>
              <w:ind w:left="318" w:hanging="318"/>
              <w:jc w:val="both"/>
              <w:rPr>
                <w:rStyle w:val="Hyperlink"/>
                <w:sz w:val="18"/>
                <w:szCs w:val="18"/>
              </w:rPr>
            </w:pPr>
            <w:hyperlink r:id="rId9" w:history="1">
              <w:r w:rsidR="00304AF0">
                <w:rPr>
                  <w:rStyle w:val="Hyperlink"/>
                  <w:sz w:val="18"/>
                  <w:szCs w:val="18"/>
                </w:rPr>
                <w:t>Local</w:t>
              </w:r>
            </w:hyperlink>
            <w:r w:rsidR="00304AF0">
              <w:rPr>
                <w:rStyle w:val="Hyperlink"/>
                <w:sz w:val="18"/>
                <w:szCs w:val="18"/>
              </w:rPr>
              <w:t xml:space="preserve"> Government Act 1995</w:t>
            </w:r>
          </w:p>
          <w:p w14:paraId="7751D683" w14:textId="77777777" w:rsidR="00304AF0" w:rsidRDefault="00304AF0" w:rsidP="007C1B38">
            <w:pPr>
              <w:ind w:left="318" w:hanging="318"/>
              <w:jc w:val="both"/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  <w:sz w:val="18"/>
                <w:szCs w:val="18"/>
              </w:rPr>
              <w:t>Local Government (Financial Management) Regulations 1996</w:t>
            </w:r>
          </w:p>
          <w:p w14:paraId="4873C2F2" w14:textId="36B409C4" w:rsidR="00073A1A" w:rsidRDefault="00206836" w:rsidP="007C1B38">
            <w:pPr>
              <w:ind w:left="318" w:hanging="318"/>
              <w:jc w:val="both"/>
              <w:rPr>
                <w:sz w:val="18"/>
                <w:szCs w:val="18"/>
              </w:rPr>
            </w:pPr>
            <w:hyperlink r:id="rId10" w:history="1">
              <w:r w:rsidR="00073A1A" w:rsidRPr="00206836">
                <w:rPr>
                  <w:rStyle w:val="Hyperlink"/>
                  <w:sz w:val="18"/>
                  <w:szCs w:val="18"/>
                </w:rPr>
                <w:t>Rates and Charges (Rebates and Deferments) Act 1992</w:t>
              </w:r>
            </w:hyperlink>
          </w:p>
          <w:p w14:paraId="199F4652" w14:textId="77777777" w:rsidR="00574297" w:rsidRPr="00775BA0" w:rsidRDefault="00574297" w:rsidP="007C1B38">
            <w:pPr>
              <w:jc w:val="both"/>
              <w:rPr>
                <w:sz w:val="18"/>
                <w:szCs w:val="18"/>
              </w:rPr>
            </w:pPr>
          </w:p>
        </w:tc>
      </w:tr>
      <w:tr w:rsidR="000452F1" w:rsidRPr="00775BA0" w14:paraId="478A772C" w14:textId="77777777" w:rsidTr="006931BD">
        <w:tc>
          <w:tcPr>
            <w:tcW w:w="15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17A2DF4F" w14:textId="77777777" w:rsidR="000452F1" w:rsidRPr="00775BA0" w:rsidRDefault="00304AF0" w:rsidP="007C1B3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  <w:r w:rsidR="000452F1" w:rsidRPr="00775BA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81" w:type="dxa"/>
            <w:gridSpan w:val="10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5D9783" w14:textId="77777777" w:rsidR="00042E93" w:rsidRPr="00775BA0" w:rsidRDefault="00042E93" w:rsidP="007C1B38">
            <w:pPr>
              <w:ind w:left="318" w:hanging="318"/>
              <w:jc w:val="both"/>
              <w:rPr>
                <w:sz w:val="18"/>
                <w:szCs w:val="18"/>
              </w:rPr>
            </w:pPr>
          </w:p>
        </w:tc>
      </w:tr>
      <w:tr w:rsidR="000452F1" w:rsidRPr="00775BA0" w14:paraId="5555C45B" w14:textId="77777777" w:rsidTr="006931BD">
        <w:tc>
          <w:tcPr>
            <w:tcW w:w="1578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shd w:val="clear" w:color="auto" w:fill="D9D9D9"/>
          </w:tcPr>
          <w:p w14:paraId="260AB31F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Organisational:</w:t>
            </w:r>
          </w:p>
        </w:tc>
        <w:tc>
          <w:tcPr>
            <w:tcW w:w="8081" w:type="dxa"/>
            <w:gridSpan w:val="10"/>
            <w:tcBorders>
              <w:top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</w:tcPr>
          <w:p w14:paraId="03866177" w14:textId="77777777" w:rsidR="00C74585" w:rsidRPr="00775BA0" w:rsidRDefault="00C74585" w:rsidP="007C1B38">
            <w:pPr>
              <w:jc w:val="both"/>
              <w:rPr>
                <w:sz w:val="18"/>
                <w:szCs w:val="18"/>
              </w:rPr>
            </w:pPr>
          </w:p>
        </w:tc>
      </w:tr>
      <w:tr w:rsidR="000452F1" w:rsidRPr="00775BA0" w14:paraId="733AF6F4" w14:textId="77777777" w:rsidTr="006F2CAD">
        <w:trPr>
          <w:trHeight w:val="185"/>
        </w:trPr>
        <w:tc>
          <w:tcPr>
            <w:tcW w:w="9659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565AC4C1" w14:textId="77777777" w:rsidR="000452F1" w:rsidRPr="00775BA0" w:rsidRDefault="000452F1" w:rsidP="007C1B38">
            <w:pPr>
              <w:jc w:val="both"/>
              <w:rPr>
                <w:b/>
                <w:sz w:val="20"/>
              </w:rPr>
            </w:pPr>
            <w:r w:rsidRPr="00775BA0">
              <w:rPr>
                <w:b/>
                <w:sz w:val="20"/>
              </w:rPr>
              <w:t>Document Management:</w:t>
            </w:r>
          </w:p>
        </w:tc>
      </w:tr>
      <w:tr w:rsidR="000452F1" w:rsidRPr="00775BA0" w14:paraId="7A9C6762" w14:textId="77777777" w:rsidTr="006931BD">
        <w:tc>
          <w:tcPr>
            <w:tcW w:w="157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3820DC7C" w14:textId="77777777" w:rsidR="000452F1" w:rsidRPr="00775BA0" w:rsidRDefault="000452F1" w:rsidP="007C1B38">
            <w:pPr>
              <w:jc w:val="both"/>
              <w:rPr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Risk Rating</w:t>
            </w:r>
            <w:r w:rsidRPr="00775BA0">
              <w:rPr>
                <w:sz w:val="18"/>
                <w:szCs w:val="18"/>
              </w:rPr>
              <w:t>:</w:t>
            </w:r>
          </w:p>
        </w:tc>
        <w:tc>
          <w:tcPr>
            <w:tcW w:w="1329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FB765F9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low / med / high]"/>
                  </w:textInput>
                </w:ffData>
              </w:fldChar>
            </w:r>
            <w:r w:rsidRPr="00775BA0">
              <w:rPr>
                <w:b/>
                <w:sz w:val="18"/>
                <w:szCs w:val="18"/>
              </w:rPr>
              <w:instrText xml:space="preserve"> FORMTEXT </w:instrText>
            </w:r>
            <w:r w:rsidRPr="00775BA0">
              <w:rPr>
                <w:b/>
                <w:sz w:val="18"/>
                <w:szCs w:val="18"/>
              </w:rPr>
            </w:r>
            <w:r w:rsidRPr="00775BA0">
              <w:rPr>
                <w:b/>
                <w:sz w:val="18"/>
                <w:szCs w:val="18"/>
              </w:rPr>
              <w:fldChar w:fldCharType="separate"/>
            </w:r>
            <w:r w:rsidRPr="00775BA0">
              <w:rPr>
                <w:b/>
                <w:noProof/>
                <w:sz w:val="18"/>
                <w:szCs w:val="18"/>
              </w:rPr>
              <w:t>[low / med / high]</w:t>
            </w:r>
            <w:r w:rsidRPr="00775B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19CFF500" w14:textId="77777777" w:rsidR="000452F1" w:rsidRPr="00775BA0" w:rsidRDefault="000452F1" w:rsidP="007C1B38">
            <w:pPr>
              <w:jc w:val="both"/>
              <w:rPr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Review Frequency</w:t>
            </w:r>
            <w:r w:rsidRPr="00775BA0">
              <w:rPr>
                <w:sz w:val="18"/>
                <w:szCs w:val="18"/>
              </w:rPr>
              <w:t>:</w:t>
            </w:r>
          </w:p>
        </w:tc>
        <w:tc>
          <w:tcPr>
            <w:tcW w:w="1710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9F6B7EC" w14:textId="77777777" w:rsidR="000452F1" w:rsidRPr="00775BA0" w:rsidRDefault="000452F1" w:rsidP="007C1B38">
            <w:pPr>
              <w:jc w:val="both"/>
              <w:rPr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nnaul / biennial / triennial]"/>
                  </w:textInput>
                </w:ffData>
              </w:fldChar>
            </w:r>
            <w:r w:rsidRPr="00775BA0">
              <w:rPr>
                <w:b/>
                <w:sz w:val="18"/>
                <w:szCs w:val="18"/>
              </w:rPr>
              <w:instrText xml:space="preserve"> FORMTEXT </w:instrText>
            </w:r>
            <w:r w:rsidRPr="00775BA0">
              <w:rPr>
                <w:b/>
                <w:sz w:val="18"/>
                <w:szCs w:val="18"/>
              </w:rPr>
            </w:r>
            <w:r w:rsidRPr="00775BA0">
              <w:rPr>
                <w:b/>
                <w:sz w:val="18"/>
                <w:szCs w:val="18"/>
              </w:rPr>
              <w:fldChar w:fldCharType="separate"/>
            </w:r>
            <w:r w:rsidRPr="00775BA0">
              <w:rPr>
                <w:b/>
                <w:noProof/>
                <w:sz w:val="18"/>
                <w:szCs w:val="18"/>
              </w:rPr>
              <w:t>[annaul / biennial / triennial]</w:t>
            </w:r>
            <w:r w:rsidRPr="00775B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41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68FAB80A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Next Due:</w:t>
            </w:r>
          </w:p>
        </w:tc>
        <w:tc>
          <w:tcPr>
            <w:tcW w:w="969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57359A1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20##]"/>
                  </w:textInput>
                </w:ffData>
              </w:fldChar>
            </w:r>
            <w:r w:rsidRPr="00775BA0">
              <w:rPr>
                <w:b/>
                <w:sz w:val="18"/>
                <w:szCs w:val="18"/>
              </w:rPr>
              <w:instrText xml:space="preserve"> FORMTEXT </w:instrText>
            </w:r>
            <w:r w:rsidRPr="00775BA0">
              <w:rPr>
                <w:b/>
                <w:sz w:val="18"/>
                <w:szCs w:val="18"/>
              </w:rPr>
            </w:r>
            <w:r w:rsidRPr="00775BA0">
              <w:rPr>
                <w:b/>
                <w:sz w:val="18"/>
                <w:szCs w:val="18"/>
              </w:rPr>
              <w:fldChar w:fldCharType="separate"/>
            </w:r>
            <w:r w:rsidRPr="00775BA0">
              <w:rPr>
                <w:b/>
                <w:noProof/>
                <w:sz w:val="18"/>
                <w:szCs w:val="18"/>
              </w:rPr>
              <w:t>[20##]</w:t>
            </w:r>
            <w:r w:rsidRPr="00775B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65427B4F" w14:textId="77777777" w:rsidR="000452F1" w:rsidRPr="00775BA0" w:rsidRDefault="005900B0" w:rsidP="007C1B3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Records</w:t>
            </w:r>
            <w:r w:rsidR="000452F1" w:rsidRPr="00775BA0">
              <w:rPr>
                <w:b/>
                <w:sz w:val="18"/>
                <w:szCs w:val="18"/>
              </w:rPr>
              <w:t xml:space="preserve"> Ref:</w:t>
            </w:r>
          </w:p>
        </w:tc>
        <w:bookmarkStart w:id="0" w:name="Text11"/>
        <w:tc>
          <w:tcPr>
            <w:tcW w:w="1109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816F6C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CP####]"/>
                  </w:textInput>
                </w:ffData>
              </w:fldChar>
            </w:r>
            <w:r w:rsidRPr="00775BA0">
              <w:rPr>
                <w:b/>
                <w:sz w:val="18"/>
                <w:szCs w:val="18"/>
              </w:rPr>
              <w:instrText xml:space="preserve"> FORMTEXT </w:instrText>
            </w:r>
            <w:r w:rsidRPr="00775BA0">
              <w:rPr>
                <w:b/>
                <w:sz w:val="18"/>
                <w:szCs w:val="18"/>
              </w:rPr>
            </w:r>
            <w:r w:rsidRPr="00775BA0">
              <w:rPr>
                <w:b/>
                <w:sz w:val="18"/>
                <w:szCs w:val="18"/>
              </w:rPr>
              <w:fldChar w:fldCharType="separate"/>
            </w:r>
            <w:r w:rsidRPr="00775BA0">
              <w:rPr>
                <w:b/>
                <w:noProof/>
                <w:sz w:val="18"/>
                <w:szCs w:val="18"/>
              </w:rPr>
              <w:t>[CP####]</w:t>
            </w:r>
            <w:r w:rsidRPr="00775BA0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0452F1" w:rsidRPr="00775BA0" w14:paraId="4E0C91D1" w14:textId="77777777" w:rsidTr="006F2CAD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5D37230B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Version #</w:t>
            </w: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14:paraId="2748545C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Decision Reference:</w:t>
            </w: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1CD90E76" w14:textId="77777777" w:rsidR="000452F1" w:rsidRPr="00775BA0" w:rsidRDefault="000452F1" w:rsidP="007C1B38">
            <w:pPr>
              <w:jc w:val="both"/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Synopsis:</w:t>
            </w:r>
          </w:p>
        </w:tc>
      </w:tr>
      <w:tr w:rsidR="000452F1" w:rsidRPr="00775BA0" w14:paraId="218C0001" w14:textId="77777777" w:rsidTr="006F2CAD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5342EDAB" w14:textId="77777777" w:rsidR="000452F1" w:rsidRPr="00775BA0" w:rsidRDefault="000452F1" w:rsidP="007C1B38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9A4A4CB" w14:textId="77777777" w:rsidR="000452F1" w:rsidRPr="00775BA0" w:rsidRDefault="000452F1" w:rsidP="007C1B38">
            <w:pPr>
              <w:jc w:val="both"/>
              <w:rPr>
                <w:sz w:val="18"/>
                <w:szCs w:val="18"/>
              </w:rPr>
            </w:pPr>
            <w:r w:rsidRPr="00775BA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ecision date / TRIM Ref]"/>
                  </w:textInput>
                </w:ffData>
              </w:fldChar>
            </w:r>
            <w:r w:rsidRPr="00775BA0">
              <w:rPr>
                <w:sz w:val="18"/>
                <w:szCs w:val="18"/>
              </w:rPr>
              <w:instrText xml:space="preserve"> FORMTEXT </w:instrText>
            </w:r>
            <w:r w:rsidRPr="00775BA0">
              <w:rPr>
                <w:sz w:val="18"/>
                <w:szCs w:val="18"/>
              </w:rPr>
            </w:r>
            <w:r w:rsidRPr="00775BA0">
              <w:rPr>
                <w:sz w:val="18"/>
                <w:szCs w:val="18"/>
              </w:rPr>
              <w:fldChar w:fldCharType="separate"/>
            </w:r>
            <w:r w:rsidRPr="00775BA0">
              <w:rPr>
                <w:noProof/>
                <w:sz w:val="18"/>
                <w:szCs w:val="18"/>
              </w:rPr>
              <w:t>[decision date / TRIM Ref]</w:t>
            </w:r>
            <w:r w:rsidRPr="00775BA0">
              <w:rPr>
                <w:sz w:val="18"/>
                <w:szCs w:val="18"/>
              </w:rPr>
              <w:fldChar w:fldCharType="end"/>
            </w: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52DA42" w14:textId="77777777" w:rsidR="000452F1" w:rsidRPr="00775BA0" w:rsidRDefault="005900B0" w:rsidP="007C1B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brief description of the adoption / changes approved]"/>
                  </w:textInput>
                </w:ffData>
              </w:fldChar>
            </w:r>
            <w:bookmarkStart w:id="1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[brief description of the adoption / changes approved]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0452F1" w:rsidRPr="00775BA0" w14:paraId="6365E707" w14:textId="77777777" w:rsidTr="006F2CAD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12E8DAAB" w14:textId="77777777" w:rsidR="000452F1" w:rsidRPr="00775BA0" w:rsidRDefault="000452F1" w:rsidP="007C1B38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A197D5C" w14:textId="77777777" w:rsidR="000452F1" w:rsidRPr="00775BA0" w:rsidRDefault="000452F1" w:rsidP="007C1B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EADE7C" w14:textId="77777777" w:rsidR="000452F1" w:rsidRPr="00775BA0" w:rsidRDefault="000452F1" w:rsidP="007C1B38">
            <w:pPr>
              <w:jc w:val="both"/>
              <w:rPr>
                <w:sz w:val="18"/>
                <w:szCs w:val="18"/>
              </w:rPr>
            </w:pPr>
          </w:p>
        </w:tc>
      </w:tr>
    </w:tbl>
    <w:p w14:paraId="575CE948" w14:textId="77777777" w:rsidR="000452F1" w:rsidRDefault="000452F1" w:rsidP="007C1B38">
      <w:pPr>
        <w:jc w:val="both"/>
      </w:pPr>
    </w:p>
    <w:sectPr w:rsidR="000452F1" w:rsidSect="0047530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9410" w14:textId="77777777" w:rsidR="009B0041" w:rsidRDefault="009B0041" w:rsidP="00374481">
      <w:r>
        <w:separator/>
      </w:r>
    </w:p>
  </w:endnote>
  <w:endnote w:type="continuationSeparator" w:id="0">
    <w:p w14:paraId="7D24B74C" w14:textId="77777777" w:rsidR="009B0041" w:rsidRDefault="009B0041" w:rsidP="0037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2AFF" w14:textId="77777777" w:rsidR="00F80E88" w:rsidRDefault="00F80E88" w:rsidP="00475308">
    <w:pPr>
      <w:pStyle w:val="Footer"/>
      <w:jc w:val="center"/>
    </w:pPr>
  </w:p>
  <w:p w14:paraId="66983F5E" w14:textId="77777777" w:rsidR="00F80E88" w:rsidRDefault="00F80E88" w:rsidP="00475308">
    <w:pPr>
      <w:pStyle w:val="Footer"/>
      <w:jc w:val="center"/>
    </w:pPr>
    <w:r>
      <w:rPr>
        <w:noProof/>
        <w:lang w:eastAsia="en-AU"/>
      </w:rPr>
      <mc:AlternateContent>
        <mc:Choice Requires="wpg">
          <w:drawing>
            <wp:inline distT="0" distB="0" distL="0" distR="0" wp14:anchorId="21CBC568" wp14:editId="2160E1FA">
              <wp:extent cx="418465" cy="221615"/>
              <wp:effectExtent l="0" t="0" r="635" b="0"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9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7D9AE" w14:textId="341B8082" w:rsidR="00F80E88" w:rsidRPr="00C4116E" w:rsidRDefault="00F80E88" w:rsidP="0047530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C4116E">
                              <w:fldChar w:fldCharType="begin"/>
                            </w:r>
                            <w:r w:rsidRPr="00C4116E">
                              <w:instrText xml:space="preserve"> PAGE    \* MERGEFORMAT </w:instrText>
                            </w:r>
                            <w:r w:rsidRPr="00C4116E">
                              <w:fldChar w:fldCharType="separate"/>
                            </w:r>
                            <w:r w:rsidR="00D733C6" w:rsidRPr="00D733C6">
                              <w:rPr>
                                <w:iCs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 w:rsidRPr="00C4116E">
                              <w:rPr>
                                <w:iCs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0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1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21CBC568" id="Group 8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MbXwlklAwAAzwwAAA4A&#10;AAAAAAAAAAAAAAAALgIAAGRycy9lMm9Eb2MueG1sUEsBAi0AFAAGAAgAAAAhALCWHRfcAAAAAwEA&#10;AA8AAAAAAAAAAAAAAAAAfwUAAGRycy9kb3ducmV2LnhtbFBLBQYAAAAABAAEAPMAAAC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<v:textbox inset="0,0,0,0">
                  <w:txbxContent>
                    <w:p w14:paraId="3D17D9AE" w14:textId="341B8082" w:rsidR="00F80E88" w:rsidRPr="00C4116E" w:rsidRDefault="00F80E88" w:rsidP="00475308">
                      <w:pPr>
                        <w:jc w:val="center"/>
                        <w:rPr>
                          <w:szCs w:val="18"/>
                        </w:rPr>
                      </w:pPr>
                      <w:r w:rsidRPr="00C4116E">
                        <w:fldChar w:fldCharType="begin"/>
                      </w:r>
                      <w:r w:rsidRPr="00C4116E">
                        <w:instrText xml:space="preserve"> PAGE    \* MERGEFORMAT </w:instrText>
                      </w:r>
                      <w:r w:rsidRPr="00C4116E">
                        <w:fldChar w:fldCharType="separate"/>
                      </w:r>
                      <w:r w:rsidR="00D733C6" w:rsidRPr="00D733C6">
                        <w:rPr>
                          <w:iCs/>
                          <w:noProof/>
                          <w:sz w:val="18"/>
                          <w:szCs w:val="18"/>
                        </w:rPr>
                        <w:t>4</w:t>
                      </w:r>
                      <w:r w:rsidRPr="00C4116E">
                        <w:rPr>
                          <w:iCs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</v:group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5709" w14:textId="77777777" w:rsidR="008871D5" w:rsidRDefault="008871D5" w:rsidP="008871D5">
    <w:pPr>
      <w:pStyle w:val="Footer"/>
      <w:jc w:val="center"/>
    </w:pPr>
  </w:p>
  <w:p w14:paraId="3EBEE9C2" w14:textId="77777777" w:rsidR="008871D5" w:rsidRDefault="008871D5" w:rsidP="008871D5">
    <w:pPr>
      <w:pStyle w:val="Footer"/>
      <w:jc w:val="center"/>
    </w:pPr>
    <w:r>
      <w:rPr>
        <w:noProof/>
        <w:lang w:eastAsia="en-AU"/>
      </w:rPr>
      <mc:AlternateContent>
        <mc:Choice Requires="wpg">
          <w:drawing>
            <wp:inline distT="0" distB="0" distL="0" distR="0" wp14:anchorId="77AF53C5" wp14:editId="1C2DB397">
              <wp:extent cx="418465" cy="221615"/>
              <wp:effectExtent l="0" t="0" r="635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2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70A9C" w14:textId="6717B57E" w:rsidR="008871D5" w:rsidRPr="00C4116E" w:rsidRDefault="008871D5" w:rsidP="008871D5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C4116E">
                              <w:fldChar w:fldCharType="begin"/>
                            </w:r>
                            <w:r w:rsidRPr="00C4116E">
                              <w:instrText xml:space="preserve"> PAGE    \* MERGEFORMAT </w:instrText>
                            </w:r>
                            <w:r w:rsidRPr="00C4116E">
                              <w:fldChar w:fldCharType="separate"/>
                            </w:r>
                            <w:r w:rsidR="00D733C6" w:rsidRPr="00D733C6">
                              <w:rPr>
                                <w:i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C4116E">
                              <w:rPr>
                                <w:iCs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7AF53C5" id="Group 1" o:spid="_x0000_s1032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33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3B070A9C" w14:textId="6717B57E" w:rsidR="008871D5" w:rsidRPr="00C4116E" w:rsidRDefault="008871D5" w:rsidP="008871D5">
                      <w:pPr>
                        <w:jc w:val="center"/>
                        <w:rPr>
                          <w:szCs w:val="18"/>
                        </w:rPr>
                      </w:pPr>
                      <w:r w:rsidRPr="00C4116E">
                        <w:fldChar w:fldCharType="begin"/>
                      </w:r>
                      <w:r w:rsidRPr="00C4116E">
                        <w:instrText xml:space="preserve"> PAGE    \* MERGEFORMAT </w:instrText>
                      </w:r>
                      <w:r w:rsidRPr="00C4116E">
                        <w:fldChar w:fldCharType="separate"/>
                      </w:r>
                      <w:r w:rsidR="00D733C6" w:rsidRPr="00D733C6">
                        <w:rPr>
                          <w:iCs/>
                          <w:noProof/>
                          <w:sz w:val="18"/>
                          <w:szCs w:val="18"/>
                        </w:rPr>
                        <w:t>1</w:t>
                      </w:r>
                      <w:r w:rsidRPr="00C4116E">
                        <w:rPr>
                          <w:iCs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34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65" o:spid="_x0000_s1035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<v:oval id="Oval 66" o:spid="_x0000_s1036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<v:oval id="Oval 67" o:spid="_x0000_s1037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mhvAAAANsAAAAPAAAAZHJzL2Rvd25yZXYueG1sRE/NDsFA&#10;EL5LvMNmJG5si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CJ9pmhvAAAANsAAAAPAAAAAAAAAAAA&#10;AAAAAAcCAABkcnMvZG93bnJldi54bWxQSwUGAAAAAAMAAwC3AAAA8AIAAAAA&#10;" fillcolor="#84a2c6" stroked="f"/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32E7" w14:textId="77777777" w:rsidR="009B0041" w:rsidRDefault="009B0041" w:rsidP="00374481">
      <w:r>
        <w:separator/>
      </w:r>
    </w:p>
  </w:footnote>
  <w:footnote w:type="continuationSeparator" w:id="0">
    <w:p w14:paraId="5C578C8F" w14:textId="77777777" w:rsidR="009B0041" w:rsidRDefault="009B0041" w:rsidP="00374481">
      <w:r>
        <w:continuationSeparator/>
      </w:r>
    </w:p>
  </w:footnote>
  <w:footnote w:id="1">
    <w:p w14:paraId="204F679F" w14:textId="77777777" w:rsidR="00B25B0F" w:rsidRDefault="00B25B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F6442">
        <w:t>A</w:t>
      </w:r>
      <w:r w:rsidR="00924A6A">
        <w:t>d</w:t>
      </w:r>
      <w:r w:rsidR="00FE3D5C">
        <w:t>a</w:t>
      </w:r>
      <w:r w:rsidR="00924A6A">
        <w:t xml:space="preserve">pted from the </w:t>
      </w:r>
      <w:r>
        <w:t xml:space="preserve">Ombudsman </w:t>
      </w:r>
      <w:r w:rsidR="00924A6A">
        <w:t xml:space="preserve">Western Australia publication, </w:t>
      </w:r>
      <w:r w:rsidR="00924A6A">
        <w:rPr>
          <w:b/>
          <w:bCs/>
        </w:rPr>
        <w:t>Local government collection of overdue rates for people in situations of vulner</w:t>
      </w:r>
      <w:r w:rsidR="009C4AA4">
        <w:rPr>
          <w:b/>
          <w:bCs/>
        </w:rPr>
        <w:t>ability: Good Practice Guidance</w:t>
      </w:r>
      <w:r w:rsidR="005F6442">
        <w:rPr>
          <w:b/>
          <w:bCs/>
        </w:rPr>
        <w:t xml:space="preserve">: </w:t>
      </w:r>
      <w:r w:rsidR="005F6442" w:rsidRPr="005F6442">
        <w:rPr>
          <w:bCs/>
        </w:rPr>
        <w:t>http://www.ombudsman.wa.gov.au/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5B1A" w14:textId="5657F5B5" w:rsidR="00F80E88" w:rsidRPr="00475308" w:rsidRDefault="008871D5" w:rsidP="000E26F8">
    <w:pPr>
      <w:jc w:val="center"/>
      <w:rPr>
        <w:b/>
        <w:color w:val="1F4E79" w:themeColor="accent1" w:themeShade="80"/>
      </w:rPr>
    </w:pPr>
    <w:r>
      <w:rPr>
        <w:b/>
        <w:color w:val="1F4E79" w:themeColor="accent1" w:themeShade="80"/>
      </w:rPr>
      <w:t xml:space="preserve">Template </w:t>
    </w:r>
    <w:r w:rsidR="005164C3">
      <w:rPr>
        <w:b/>
        <w:color w:val="1F4E79" w:themeColor="accent1" w:themeShade="80"/>
      </w:rPr>
      <w:t>–</w:t>
    </w:r>
    <w:r w:rsidR="00DB19F8">
      <w:rPr>
        <w:b/>
        <w:color w:val="1F4E79" w:themeColor="accent1" w:themeShade="80"/>
      </w:rPr>
      <w:t xml:space="preserve"> </w:t>
    </w:r>
    <w:r w:rsidR="00DC25E3">
      <w:rPr>
        <w:b/>
        <w:color w:val="1F4E79" w:themeColor="accent1" w:themeShade="80"/>
      </w:rPr>
      <w:t xml:space="preserve">Rates: </w:t>
    </w:r>
    <w:r w:rsidR="00FE3D5C">
      <w:rPr>
        <w:b/>
        <w:color w:val="1F4E79" w:themeColor="accent1" w:themeShade="80"/>
      </w:rPr>
      <w:t>Financial Hardship</w:t>
    </w:r>
    <w:r w:rsidR="00F80E88" w:rsidRPr="00475308">
      <w:rPr>
        <w:b/>
        <w:color w:val="1F4E79" w:themeColor="accent1" w:themeShade="80"/>
      </w:rPr>
      <w:t xml:space="preserve"> Policy</w:t>
    </w:r>
  </w:p>
  <w:p w14:paraId="107F6CA1" w14:textId="77777777" w:rsidR="00F80E88" w:rsidRDefault="00F80E88" w:rsidP="002C6E3F">
    <w:pPr>
      <w:pStyle w:val="Header"/>
      <w:pBdr>
        <w:bottom w:val="single" w:sz="4" w:space="1" w:color="auto"/>
      </w:pBdr>
    </w:pPr>
  </w:p>
  <w:p w14:paraId="03770E78" w14:textId="77777777" w:rsidR="002C6E3F" w:rsidRDefault="002C6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E68B" w14:textId="77777777" w:rsidR="00574A9F" w:rsidRDefault="002C6E3F" w:rsidP="00475308">
    <w:pPr>
      <w:jc w:val="center"/>
      <w:rPr>
        <w:b/>
        <w:color w:val="1F4E79" w:themeColor="accent1" w:themeShade="80"/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1CC9FA55" wp14:editId="0B953F70">
          <wp:simplePos x="0" y="0"/>
          <wp:positionH relativeFrom="page">
            <wp:posOffset>6026150</wp:posOffset>
          </wp:positionH>
          <wp:positionV relativeFrom="page">
            <wp:posOffset>456565</wp:posOffset>
          </wp:positionV>
          <wp:extent cx="612775" cy="464820"/>
          <wp:effectExtent l="0" t="0" r="0" b="0"/>
          <wp:wrapNone/>
          <wp:docPr id="6" name="Picture 313" descr="Description: WALGA white line_trans_bl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3" descr="Description: WALGA white line_trans_blu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0B0">
      <w:rPr>
        <w:b/>
        <w:color w:val="1F4E79" w:themeColor="accent1" w:themeShade="80"/>
        <w:sz w:val="32"/>
        <w:szCs w:val="32"/>
      </w:rPr>
      <w:t>Template</w:t>
    </w:r>
  </w:p>
  <w:p w14:paraId="4120446D" w14:textId="0779F2E1" w:rsidR="00F80E88" w:rsidRPr="00475308" w:rsidRDefault="00D223E6" w:rsidP="00475308">
    <w:pPr>
      <w:jc w:val="center"/>
      <w:rPr>
        <w:b/>
        <w:color w:val="1F4E79" w:themeColor="accent1" w:themeShade="80"/>
        <w:sz w:val="32"/>
        <w:szCs w:val="32"/>
      </w:rPr>
    </w:pPr>
    <w:r>
      <w:rPr>
        <w:b/>
        <w:color w:val="1F4E79" w:themeColor="accent1" w:themeShade="80"/>
        <w:sz w:val="32"/>
        <w:szCs w:val="32"/>
      </w:rPr>
      <w:t xml:space="preserve">Rates: </w:t>
    </w:r>
    <w:r w:rsidR="00300C81">
      <w:rPr>
        <w:b/>
        <w:color w:val="1F4E79" w:themeColor="accent1" w:themeShade="80"/>
        <w:sz w:val="32"/>
        <w:szCs w:val="32"/>
      </w:rPr>
      <w:t>Financial Hardship</w:t>
    </w:r>
    <w:r w:rsidR="00F80E88" w:rsidRPr="00475308">
      <w:rPr>
        <w:b/>
        <w:color w:val="1F4E79" w:themeColor="accent1" w:themeShade="80"/>
        <w:sz w:val="32"/>
        <w:szCs w:val="32"/>
      </w:rPr>
      <w:t xml:space="preserve"> Policy</w:t>
    </w:r>
  </w:p>
  <w:p w14:paraId="0DEDF306" w14:textId="77777777" w:rsidR="002C6E3F" w:rsidRDefault="002C6E3F" w:rsidP="002C6E3F">
    <w:pPr>
      <w:pStyle w:val="Header"/>
      <w:pBdr>
        <w:bottom w:val="single" w:sz="4" w:space="1" w:color="auto"/>
      </w:pBdr>
    </w:pPr>
  </w:p>
  <w:p w14:paraId="7C90F675" w14:textId="77777777" w:rsidR="00F80E88" w:rsidRDefault="00F80E88" w:rsidP="00475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F9144E"/>
    <w:multiLevelType w:val="hybridMultilevel"/>
    <w:tmpl w:val="51DDEE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23044"/>
    <w:multiLevelType w:val="multilevel"/>
    <w:tmpl w:val="320E9C2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C64783"/>
    <w:multiLevelType w:val="hybridMultilevel"/>
    <w:tmpl w:val="85767DB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4F41"/>
    <w:multiLevelType w:val="hybridMultilevel"/>
    <w:tmpl w:val="5F5CC7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314A1"/>
    <w:multiLevelType w:val="hybridMultilevel"/>
    <w:tmpl w:val="4B86B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4A79"/>
    <w:multiLevelType w:val="multilevel"/>
    <w:tmpl w:val="7D42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C5E5D"/>
    <w:multiLevelType w:val="hybridMultilevel"/>
    <w:tmpl w:val="B92699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13626"/>
    <w:multiLevelType w:val="hybridMultilevel"/>
    <w:tmpl w:val="2B827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B2A09"/>
    <w:multiLevelType w:val="hybridMultilevel"/>
    <w:tmpl w:val="5AEA5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8159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E06D5"/>
    <w:multiLevelType w:val="hybridMultilevel"/>
    <w:tmpl w:val="739811C8"/>
    <w:lvl w:ilvl="0" w:tplc="7A9073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38B1"/>
    <w:multiLevelType w:val="multilevel"/>
    <w:tmpl w:val="080E5402"/>
    <w:styleLink w:val="AgendaHeadings"/>
    <w:lvl w:ilvl="0">
      <w:start w:val="1"/>
      <w:numFmt w:val="decimal"/>
      <w:lvlText w:val="%1."/>
      <w:lvlJc w:val="left"/>
      <w:pPr>
        <w:ind w:left="510" w:hanging="51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90" w:hanging="510"/>
      </w:pPr>
      <w:rPr>
        <w:rFonts w:hint="default"/>
      </w:rPr>
    </w:lvl>
  </w:abstractNum>
  <w:abstractNum w:abstractNumId="11" w15:restartNumberingAfterBreak="0">
    <w:nsid w:val="6AB2766E"/>
    <w:multiLevelType w:val="hybridMultilevel"/>
    <w:tmpl w:val="57085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1">
    <w:abstractNumId w:val="10"/>
  </w:num>
  <w:num w:numId="2" w16cid:durableId="694888476">
    <w:abstractNumId w:val="1"/>
  </w:num>
  <w:num w:numId="3" w16cid:durableId="1689987036">
    <w:abstractNumId w:val="3"/>
  </w:num>
  <w:num w:numId="4" w16cid:durableId="1072123527">
    <w:abstractNumId w:val="6"/>
  </w:num>
  <w:num w:numId="5" w16cid:durableId="1994722514">
    <w:abstractNumId w:val="0"/>
  </w:num>
  <w:num w:numId="6" w16cid:durableId="844395081">
    <w:abstractNumId w:val="8"/>
  </w:num>
  <w:num w:numId="7" w16cid:durableId="1063720821">
    <w:abstractNumId w:val="4"/>
  </w:num>
  <w:num w:numId="8" w16cid:durableId="1489714772">
    <w:abstractNumId w:val="5"/>
  </w:num>
  <w:num w:numId="9" w16cid:durableId="158546552">
    <w:abstractNumId w:val="9"/>
  </w:num>
  <w:num w:numId="10" w16cid:durableId="827525562">
    <w:abstractNumId w:val="11"/>
  </w:num>
  <w:num w:numId="11" w16cid:durableId="1678536409">
    <w:abstractNumId w:val="7"/>
  </w:num>
  <w:num w:numId="12" w16cid:durableId="24368714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81"/>
    <w:rsid w:val="000042C1"/>
    <w:rsid w:val="000060CC"/>
    <w:rsid w:val="0001175D"/>
    <w:rsid w:val="00012C12"/>
    <w:rsid w:val="00013CFD"/>
    <w:rsid w:val="00024365"/>
    <w:rsid w:val="00024722"/>
    <w:rsid w:val="0004205C"/>
    <w:rsid w:val="00042E93"/>
    <w:rsid w:val="000452F1"/>
    <w:rsid w:val="00056160"/>
    <w:rsid w:val="0005637B"/>
    <w:rsid w:val="00061B60"/>
    <w:rsid w:val="00065C54"/>
    <w:rsid w:val="000661FB"/>
    <w:rsid w:val="00073A1A"/>
    <w:rsid w:val="0008138F"/>
    <w:rsid w:val="00097EF7"/>
    <w:rsid w:val="000B0ACD"/>
    <w:rsid w:val="000C1CDB"/>
    <w:rsid w:val="000D57F2"/>
    <w:rsid w:val="000E05AD"/>
    <w:rsid w:val="000E1BA7"/>
    <w:rsid w:val="000E26F8"/>
    <w:rsid w:val="001130C2"/>
    <w:rsid w:val="00115130"/>
    <w:rsid w:val="00150F46"/>
    <w:rsid w:val="00164704"/>
    <w:rsid w:val="00166A0A"/>
    <w:rsid w:val="0017710F"/>
    <w:rsid w:val="001803AB"/>
    <w:rsid w:val="00184D39"/>
    <w:rsid w:val="00193A0B"/>
    <w:rsid w:val="001A582A"/>
    <w:rsid w:val="001B5300"/>
    <w:rsid w:val="001B7179"/>
    <w:rsid w:val="001C7115"/>
    <w:rsid w:val="001E6801"/>
    <w:rsid w:val="001F06D1"/>
    <w:rsid w:val="00206836"/>
    <w:rsid w:val="00210395"/>
    <w:rsid w:val="00223ABF"/>
    <w:rsid w:val="00223D85"/>
    <w:rsid w:val="00231A67"/>
    <w:rsid w:val="002353DA"/>
    <w:rsid w:val="00235DDF"/>
    <w:rsid w:val="0024162E"/>
    <w:rsid w:val="002441FD"/>
    <w:rsid w:val="002464B1"/>
    <w:rsid w:val="002514A1"/>
    <w:rsid w:val="0026667C"/>
    <w:rsid w:val="00277F13"/>
    <w:rsid w:val="00280A97"/>
    <w:rsid w:val="00282216"/>
    <w:rsid w:val="00294174"/>
    <w:rsid w:val="002B4022"/>
    <w:rsid w:val="002B5888"/>
    <w:rsid w:val="002C0ABE"/>
    <w:rsid w:val="002C27E5"/>
    <w:rsid w:val="002C6E3F"/>
    <w:rsid w:val="002C7116"/>
    <w:rsid w:val="002D664E"/>
    <w:rsid w:val="002F273E"/>
    <w:rsid w:val="002F2787"/>
    <w:rsid w:val="00300616"/>
    <w:rsid w:val="00300C81"/>
    <w:rsid w:val="00303162"/>
    <w:rsid w:val="00304AF0"/>
    <w:rsid w:val="0031021F"/>
    <w:rsid w:val="00315045"/>
    <w:rsid w:val="00315C8D"/>
    <w:rsid w:val="00323DCA"/>
    <w:rsid w:val="00346919"/>
    <w:rsid w:val="003672AD"/>
    <w:rsid w:val="00374481"/>
    <w:rsid w:val="0038034A"/>
    <w:rsid w:val="00383BA9"/>
    <w:rsid w:val="00395778"/>
    <w:rsid w:val="003A029F"/>
    <w:rsid w:val="003A0E12"/>
    <w:rsid w:val="003A146D"/>
    <w:rsid w:val="003A1990"/>
    <w:rsid w:val="003A4CDE"/>
    <w:rsid w:val="003B23F5"/>
    <w:rsid w:val="003B3113"/>
    <w:rsid w:val="003B4ACB"/>
    <w:rsid w:val="003C1248"/>
    <w:rsid w:val="003C1DD0"/>
    <w:rsid w:val="003C3AD9"/>
    <w:rsid w:val="003E0B67"/>
    <w:rsid w:val="003E5315"/>
    <w:rsid w:val="003E54E7"/>
    <w:rsid w:val="003F6B12"/>
    <w:rsid w:val="0040246A"/>
    <w:rsid w:val="0040767B"/>
    <w:rsid w:val="00411E55"/>
    <w:rsid w:val="00412E3D"/>
    <w:rsid w:val="004149FA"/>
    <w:rsid w:val="00415E55"/>
    <w:rsid w:val="004255C1"/>
    <w:rsid w:val="004276E0"/>
    <w:rsid w:val="00431800"/>
    <w:rsid w:val="00433914"/>
    <w:rsid w:val="00437566"/>
    <w:rsid w:val="00437714"/>
    <w:rsid w:val="00445E1A"/>
    <w:rsid w:val="0045237A"/>
    <w:rsid w:val="00453DBD"/>
    <w:rsid w:val="00455C96"/>
    <w:rsid w:val="00461718"/>
    <w:rsid w:val="00463CDE"/>
    <w:rsid w:val="0046676B"/>
    <w:rsid w:val="00472659"/>
    <w:rsid w:val="00473554"/>
    <w:rsid w:val="00475308"/>
    <w:rsid w:val="004B50B4"/>
    <w:rsid w:val="004B5A73"/>
    <w:rsid w:val="004C6AF0"/>
    <w:rsid w:val="004D6194"/>
    <w:rsid w:val="004E5126"/>
    <w:rsid w:val="004F02E8"/>
    <w:rsid w:val="00500E57"/>
    <w:rsid w:val="00501C49"/>
    <w:rsid w:val="005127FB"/>
    <w:rsid w:val="005164C3"/>
    <w:rsid w:val="00521F3B"/>
    <w:rsid w:val="0052220E"/>
    <w:rsid w:val="00546C28"/>
    <w:rsid w:val="0055408C"/>
    <w:rsid w:val="0056142B"/>
    <w:rsid w:val="005627C2"/>
    <w:rsid w:val="005720F7"/>
    <w:rsid w:val="00574297"/>
    <w:rsid w:val="00574A9F"/>
    <w:rsid w:val="005763D4"/>
    <w:rsid w:val="0058391E"/>
    <w:rsid w:val="005900B0"/>
    <w:rsid w:val="005A082B"/>
    <w:rsid w:val="005A725D"/>
    <w:rsid w:val="005D335C"/>
    <w:rsid w:val="005F16BE"/>
    <w:rsid w:val="005F6442"/>
    <w:rsid w:val="005F68E4"/>
    <w:rsid w:val="006127C1"/>
    <w:rsid w:val="006244EF"/>
    <w:rsid w:val="006263C9"/>
    <w:rsid w:val="006511DE"/>
    <w:rsid w:val="00652EF1"/>
    <w:rsid w:val="0065377D"/>
    <w:rsid w:val="006545FF"/>
    <w:rsid w:val="00655035"/>
    <w:rsid w:val="00656B6D"/>
    <w:rsid w:val="0066445C"/>
    <w:rsid w:val="006651A5"/>
    <w:rsid w:val="00675C3D"/>
    <w:rsid w:val="006931BD"/>
    <w:rsid w:val="006B622A"/>
    <w:rsid w:val="006C4A03"/>
    <w:rsid w:val="006D448E"/>
    <w:rsid w:val="006D4850"/>
    <w:rsid w:val="006E2C92"/>
    <w:rsid w:val="006F2CAD"/>
    <w:rsid w:val="007003CD"/>
    <w:rsid w:val="00705108"/>
    <w:rsid w:val="00712069"/>
    <w:rsid w:val="00717753"/>
    <w:rsid w:val="00720E25"/>
    <w:rsid w:val="007214C8"/>
    <w:rsid w:val="007266E9"/>
    <w:rsid w:val="00726C43"/>
    <w:rsid w:val="007331F7"/>
    <w:rsid w:val="0074061E"/>
    <w:rsid w:val="0075350C"/>
    <w:rsid w:val="00757803"/>
    <w:rsid w:val="00765452"/>
    <w:rsid w:val="00765F07"/>
    <w:rsid w:val="00780A33"/>
    <w:rsid w:val="00781A1C"/>
    <w:rsid w:val="007844E6"/>
    <w:rsid w:val="00786D50"/>
    <w:rsid w:val="0079015C"/>
    <w:rsid w:val="0079582F"/>
    <w:rsid w:val="00797D4B"/>
    <w:rsid w:val="007B3E1E"/>
    <w:rsid w:val="007B6646"/>
    <w:rsid w:val="007C1B38"/>
    <w:rsid w:val="007C481C"/>
    <w:rsid w:val="007E4DFF"/>
    <w:rsid w:val="007F2782"/>
    <w:rsid w:val="00814156"/>
    <w:rsid w:val="008208DE"/>
    <w:rsid w:val="00820B7A"/>
    <w:rsid w:val="00835BCD"/>
    <w:rsid w:val="00847F02"/>
    <w:rsid w:val="00850D2B"/>
    <w:rsid w:val="0085506F"/>
    <w:rsid w:val="008557D0"/>
    <w:rsid w:val="0086176C"/>
    <w:rsid w:val="00867B57"/>
    <w:rsid w:val="00874759"/>
    <w:rsid w:val="008871D5"/>
    <w:rsid w:val="00890C38"/>
    <w:rsid w:val="008947B4"/>
    <w:rsid w:val="008B5084"/>
    <w:rsid w:val="008C2479"/>
    <w:rsid w:val="008D04D1"/>
    <w:rsid w:val="008E1134"/>
    <w:rsid w:val="008E585A"/>
    <w:rsid w:val="008F0486"/>
    <w:rsid w:val="008F60E3"/>
    <w:rsid w:val="00902462"/>
    <w:rsid w:val="00905AAC"/>
    <w:rsid w:val="00905BE7"/>
    <w:rsid w:val="009077E1"/>
    <w:rsid w:val="0091449F"/>
    <w:rsid w:val="00924A6A"/>
    <w:rsid w:val="0094673F"/>
    <w:rsid w:val="00947028"/>
    <w:rsid w:val="0094766E"/>
    <w:rsid w:val="009513CF"/>
    <w:rsid w:val="00953349"/>
    <w:rsid w:val="00960624"/>
    <w:rsid w:val="009667F4"/>
    <w:rsid w:val="00973D1F"/>
    <w:rsid w:val="009A35CE"/>
    <w:rsid w:val="009B0041"/>
    <w:rsid w:val="009B76EA"/>
    <w:rsid w:val="009C4AA4"/>
    <w:rsid w:val="009C763F"/>
    <w:rsid w:val="009D772F"/>
    <w:rsid w:val="009E4806"/>
    <w:rsid w:val="009E48D4"/>
    <w:rsid w:val="009F6567"/>
    <w:rsid w:val="00A10922"/>
    <w:rsid w:val="00A1170F"/>
    <w:rsid w:val="00A15C27"/>
    <w:rsid w:val="00A27576"/>
    <w:rsid w:val="00A3163B"/>
    <w:rsid w:val="00A463E9"/>
    <w:rsid w:val="00A51F3A"/>
    <w:rsid w:val="00A537D8"/>
    <w:rsid w:val="00A55BE2"/>
    <w:rsid w:val="00A56D7E"/>
    <w:rsid w:val="00A605B2"/>
    <w:rsid w:val="00A70B25"/>
    <w:rsid w:val="00A74E0A"/>
    <w:rsid w:val="00A75E74"/>
    <w:rsid w:val="00A87502"/>
    <w:rsid w:val="00A942BE"/>
    <w:rsid w:val="00AB0DDE"/>
    <w:rsid w:val="00AB2009"/>
    <w:rsid w:val="00AC14A1"/>
    <w:rsid w:val="00AC566E"/>
    <w:rsid w:val="00AD5A6E"/>
    <w:rsid w:val="00AF39C7"/>
    <w:rsid w:val="00B000B5"/>
    <w:rsid w:val="00B00A3F"/>
    <w:rsid w:val="00B0296B"/>
    <w:rsid w:val="00B04984"/>
    <w:rsid w:val="00B049A5"/>
    <w:rsid w:val="00B07D81"/>
    <w:rsid w:val="00B10B61"/>
    <w:rsid w:val="00B1324C"/>
    <w:rsid w:val="00B25B0F"/>
    <w:rsid w:val="00B43CE5"/>
    <w:rsid w:val="00B47710"/>
    <w:rsid w:val="00B6674E"/>
    <w:rsid w:val="00B70778"/>
    <w:rsid w:val="00B73F39"/>
    <w:rsid w:val="00B74F5B"/>
    <w:rsid w:val="00B75812"/>
    <w:rsid w:val="00B80424"/>
    <w:rsid w:val="00B85DBF"/>
    <w:rsid w:val="00B94305"/>
    <w:rsid w:val="00BB32FF"/>
    <w:rsid w:val="00BB5C61"/>
    <w:rsid w:val="00BB7719"/>
    <w:rsid w:val="00BD6DB6"/>
    <w:rsid w:val="00BE2463"/>
    <w:rsid w:val="00BE6909"/>
    <w:rsid w:val="00BF1FEA"/>
    <w:rsid w:val="00BF5873"/>
    <w:rsid w:val="00BF7ABB"/>
    <w:rsid w:val="00C029C6"/>
    <w:rsid w:val="00C066DE"/>
    <w:rsid w:val="00C17026"/>
    <w:rsid w:val="00C219C6"/>
    <w:rsid w:val="00C42E75"/>
    <w:rsid w:val="00C61AE1"/>
    <w:rsid w:val="00C64107"/>
    <w:rsid w:val="00C64232"/>
    <w:rsid w:val="00C74585"/>
    <w:rsid w:val="00CA72F2"/>
    <w:rsid w:val="00CB1056"/>
    <w:rsid w:val="00CB38ED"/>
    <w:rsid w:val="00CB4DEB"/>
    <w:rsid w:val="00CC5799"/>
    <w:rsid w:val="00CC7AE7"/>
    <w:rsid w:val="00CD6E57"/>
    <w:rsid w:val="00CE1FFE"/>
    <w:rsid w:val="00CE4F42"/>
    <w:rsid w:val="00CF1A0D"/>
    <w:rsid w:val="00CF2A49"/>
    <w:rsid w:val="00D05B02"/>
    <w:rsid w:val="00D10A48"/>
    <w:rsid w:val="00D16B93"/>
    <w:rsid w:val="00D172B5"/>
    <w:rsid w:val="00D223E6"/>
    <w:rsid w:val="00D27AD2"/>
    <w:rsid w:val="00D34CEF"/>
    <w:rsid w:val="00D379E2"/>
    <w:rsid w:val="00D4088C"/>
    <w:rsid w:val="00D43DA0"/>
    <w:rsid w:val="00D51258"/>
    <w:rsid w:val="00D6766C"/>
    <w:rsid w:val="00D71BA4"/>
    <w:rsid w:val="00D72B24"/>
    <w:rsid w:val="00D733C6"/>
    <w:rsid w:val="00D95654"/>
    <w:rsid w:val="00DA4BCC"/>
    <w:rsid w:val="00DA7A73"/>
    <w:rsid w:val="00DB19F8"/>
    <w:rsid w:val="00DC25E3"/>
    <w:rsid w:val="00DF5FB8"/>
    <w:rsid w:val="00E02346"/>
    <w:rsid w:val="00E049F8"/>
    <w:rsid w:val="00E13004"/>
    <w:rsid w:val="00E15945"/>
    <w:rsid w:val="00E1703F"/>
    <w:rsid w:val="00E17E42"/>
    <w:rsid w:val="00E3016E"/>
    <w:rsid w:val="00E41B2B"/>
    <w:rsid w:val="00E61C0D"/>
    <w:rsid w:val="00E624DA"/>
    <w:rsid w:val="00E825AA"/>
    <w:rsid w:val="00E837C7"/>
    <w:rsid w:val="00E87BB8"/>
    <w:rsid w:val="00E93675"/>
    <w:rsid w:val="00EA5F45"/>
    <w:rsid w:val="00EB7790"/>
    <w:rsid w:val="00EC354D"/>
    <w:rsid w:val="00EC77B4"/>
    <w:rsid w:val="00ED2991"/>
    <w:rsid w:val="00ED399F"/>
    <w:rsid w:val="00ED59D0"/>
    <w:rsid w:val="00ED793E"/>
    <w:rsid w:val="00EE1CA6"/>
    <w:rsid w:val="00EE4ADA"/>
    <w:rsid w:val="00F0484F"/>
    <w:rsid w:val="00F21362"/>
    <w:rsid w:val="00F23778"/>
    <w:rsid w:val="00F4438D"/>
    <w:rsid w:val="00F53F4E"/>
    <w:rsid w:val="00F60529"/>
    <w:rsid w:val="00F64160"/>
    <w:rsid w:val="00F65784"/>
    <w:rsid w:val="00F66513"/>
    <w:rsid w:val="00F677A0"/>
    <w:rsid w:val="00F80E88"/>
    <w:rsid w:val="00FA247A"/>
    <w:rsid w:val="00FD6A1A"/>
    <w:rsid w:val="00FE3D5C"/>
    <w:rsid w:val="00FE3E48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323B9"/>
  <w15:chartTrackingRefBased/>
  <w15:docId w15:val="{5AAFBC7B-D716-4684-B28D-61B9D864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47A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395"/>
    <w:pPr>
      <w:keepNext/>
      <w:keepLines/>
      <w:numPr>
        <w:ilvl w:val="1"/>
        <w:numId w:val="2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395"/>
    <w:pPr>
      <w:keepNext/>
      <w:keepLines/>
      <w:numPr>
        <w:ilvl w:val="2"/>
        <w:numId w:val="2"/>
      </w:numPr>
      <w:spacing w:before="240" w:after="240"/>
      <w:outlineLvl w:val="2"/>
    </w:pPr>
    <w:rPr>
      <w:rFonts w:eastAsiaTheme="majorEastAsia" w:cstheme="majorBidi"/>
      <w:b/>
      <w:color w:val="2E74B5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9D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9D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9D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9D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9D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9D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Headings">
    <w:name w:val="Agenda Headings"/>
    <w:uiPriority w:val="99"/>
    <w:rsid w:val="00D16B9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74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481"/>
  </w:style>
  <w:style w:type="paragraph" w:styleId="Footer">
    <w:name w:val="footer"/>
    <w:basedOn w:val="Normal"/>
    <w:link w:val="FooterChar"/>
    <w:uiPriority w:val="99"/>
    <w:unhideWhenUsed/>
    <w:rsid w:val="00374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481"/>
  </w:style>
  <w:style w:type="paragraph" w:styleId="ListParagraph">
    <w:name w:val="List Paragraph"/>
    <w:basedOn w:val="Normal"/>
    <w:uiPriority w:val="99"/>
    <w:qFormat/>
    <w:rsid w:val="00210395"/>
    <w:pPr>
      <w:spacing w:before="120" w:after="120" w:line="276" w:lineRule="auto"/>
      <w:ind w:left="72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A247A"/>
    <w:rPr>
      <w:rFonts w:eastAsiaTheme="majorEastAsia" w:cstheme="majorBidi"/>
      <w:b/>
      <w:color w:val="2E74B5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0395"/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0395"/>
    <w:rPr>
      <w:rFonts w:eastAsiaTheme="majorEastAsia" w:cstheme="majorBidi"/>
      <w:b/>
      <w:color w:val="2E74B5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9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9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9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9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9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9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A5F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7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14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B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B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5B0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266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7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1Yellow">
    <w:name w:val="Heading01 Yellow"/>
    <w:basedOn w:val="Normal"/>
    <w:link w:val="Heading01YellowChar"/>
    <w:qFormat/>
    <w:rsid w:val="00D71BA4"/>
    <w:pPr>
      <w:spacing w:before="120" w:after="120"/>
    </w:pPr>
    <w:rPr>
      <w:noProof/>
      <w:color w:val="D8AE18"/>
      <w:sz w:val="50"/>
      <w:szCs w:val="50"/>
      <w:lang w:eastAsia="en-AU"/>
    </w:rPr>
  </w:style>
  <w:style w:type="character" w:customStyle="1" w:styleId="Heading01YellowChar">
    <w:name w:val="Heading01 Yellow Char"/>
    <w:basedOn w:val="DefaultParagraphFont"/>
    <w:link w:val="Heading01Yellow"/>
    <w:rsid w:val="00D71BA4"/>
    <w:rPr>
      <w:noProof/>
      <w:color w:val="D8AE18"/>
      <w:sz w:val="50"/>
      <w:szCs w:val="50"/>
      <w:lang w:eastAsia="en-AU"/>
    </w:rPr>
  </w:style>
  <w:style w:type="paragraph" w:styleId="Revision">
    <w:name w:val="Revision"/>
    <w:hidden/>
    <w:uiPriority w:val="99"/>
    <w:semiHidden/>
    <w:rsid w:val="00A87502"/>
  </w:style>
  <w:style w:type="character" w:styleId="UnresolvedMention">
    <w:name w:val="Unresolved Mention"/>
    <w:basedOn w:val="DefaultParagraphFont"/>
    <w:uiPriority w:val="99"/>
    <w:semiHidden/>
    <w:unhideWhenUsed/>
    <w:rsid w:val="00206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es@LG.wa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gislation.wa.gov.au/legislation/statutes.nsf/law_a6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p.wa.gov.au/legislation/statutes.nsf/law_s34895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2338-A948-40E5-A5BE-7A3DABBF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WALGA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Fogg</dc:creator>
  <cp:keywords/>
  <dc:description/>
  <cp:lastModifiedBy>Lyn Fogg</cp:lastModifiedBy>
  <cp:revision>102</cp:revision>
  <dcterms:created xsi:type="dcterms:W3CDTF">2023-12-11T01:27:00Z</dcterms:created>
  <dcterms:modified xsi:type="dcterms:W3CDTF">2023-12-11T07:47:00Z</dcterms:modified>
</cp:coreProperties>
</file>